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C6" w:rsidRPr="00C03A20" w:rsidRDefault="00734A22" w:rsidP="00C03A20">
      <w:pPr>
        <w:spacing w:after="0"/>
        <w:jc w:val="center"/>
        <w:rPr>
          <w:rFonts w:ascii="Times New Roman" w:hAnsi="Times New Roman"/>
          <w:b/>
          <w:sz w:val="28"/>
          <w:szCs w:val="28"/>
          <w:lang w:val="sq-AL"/>
        </w:rPr>
      </w:pPr>
      <w:bookmarkStart w:id="0" w:name="_GoBack"/>
      <w:bookmarkEnd w:id="0"/>
      <w:r w:rsidRPr="00C03A20">
        <w:rPr>
          <w:rFonts w:ascii="Times New Roman" w:hAnsi="Times New Roman"/>
          <w:b/>
          <w:sz w:val="28"/>
          <w:szCs w:val="28"/>
          <w:lang w:val="sq-AL"/>
        </w:rPr>
        <w:t>RELACION</w:t>
      </w:r>
    </w:p>
    <w:p w:rsidR="004C5EC6" w:rsidRPr="00C03A20" w:rsidRDefault="004C5EC6" w:rsidP="00C03A20">
      <w:pPr>
        <w:spacing w:after="0"/>
        <w:jc w:val="center"/>
        <w:rPr>
          <w:rFonts w:ascii="Times New Roman" w:hAnsi="Times New Roman"/>
          <w:b/>
          <w:sz w:val="28"/>
          <w:szCs w:val="28"/>
          <w:lang w:val="sq-AL"/>
        </w:rPr>
      </w:pPr>
    </w:p>
    <w:p w:rsidR="004C5EC6" w:rsidRPr="00C03A20" w:rsidRDefault="00734A22" w:rsidP="00C03A20">
      <w:pPr>
        <w:spacing w:after="0"/>
        <w:jc w:val="center"/>
        <w:rPr>
          <w:rFonts w:ascii="Times New Roman" w:hAnsi="Times New Roman"/>
          <w:b/>
          <w:sz w:val="28"/>
          <w:szCs w:val="28"/>
          <w:lang w:val="sq-AL"/>
        </w:rPr>
      </w:pPr>
      <w:r w:rsidRPr="00C03A20">
        <w:rPr>
          <w:rFonts w:ascii="Times New Roman" w:hAnsi="Times New Roman"/>
          <w:b/>
          <w:sz w:val="28"/>
          <w:szCs w:val="28"/>
          <w:lang w:val="sq-AL"/>
        </w:rPr>
        <w:t xml:space="preserve">PËR PROJEKTLIGJIN </w:t>
      </w:r>
    </w:p>
    <w:p w:rsidR="004C5EC6" w:rsidRPr="00C03A20" w:rsidRDefault="004C5EC6" w:rsidP="00C03A20">
      <w:pPr>
        <w:spacing w:after="0"/>
        <w:jc w:val="center"/>
        <w:rPr>
          <w:rFonts w:ascii="Times New Roman" w:hAnsi="Times New Roman"/>
          <w:b/>
          <w:sz w:val="28"/>
          <w:szCs w:val="28"/>
          <w:lang w:val="sq-AL"/>
        </w:rPr>
      </w:pPr>
    </w:p>
    <w:p w:rsidR="008209E7" w:rsidRPr="00C03A20" w:rsidRDefault="008209E7" w:rsidP="00C03A20">
      <w:pPr>
        <w:spacing w:after="0"/>
        <w:jc w:val="center"/>
        <w:rPr>
          <w:rFonts w:ascii="Times New Roman" w:hAnsi="Times New Roman"/>
          <w:b/>
          <w:sz w:val="28"/>
          <w:szCs w:val="28"/>
          <w:lang w:val="sq-AL"/>
        </w:rPr>
      </w:pPr>
      <w:r w:rsidRPr="00C03A20">
        <w:rPr>
          <w:rFonts w:ascii="Times New Roman" w:eastAsia="Times New Roman" w:hAnsi="Times New Roman"/>
          <w:b/>
          <w:bCs/>
          <w:sz w:val="28"/>
          <w:szCs w:val="28"/>
          <w:u w:val="single"/>
          <w:lang w:val="sq-AL"/>
        </w:rPr>
        <w:t>“</w:t>
      </w:r>
      <w:r w:rsidRPr="00C03A20">
        <w:rPr>
          <w:rFonts w:ascii="Times New Roman" w:hAnsi="Times New Roman"/>
          <w:b/>
          <w:sz w:val="28"/>
          <w:szCs w:val="28"/>
          <w:u w:val="single"/>
          <w:lang w:val="sq-AL"/>
        </w:rPr>
        <w:t>PËR</w:t>
      </w:r>
      <w:r w:rsidR="004C5EC6" w:rsidRPr="00C03A20">
        <w:rPr>
          <w:rFonts w:ascii="Times New Roman" w:hAnsi="Times New Roman"/>
          <w:b/>
          <w:sz w:val="28"/>
          <w:szCs w:val="28"/>
          <w:u w:val="single"/>
          <w:lang w:val="sq-AL"/>
        </w:rPr>
        <w:t xml:space="preserve"> ARBITRAZHIN</w:t>
      </w:r>
      <w:r w:rsidR="0076518F" w:rsidRPr="00C03A20">
        <w:rPr>
          <w:rFonts w:ascii="Times New Roman" w:hAnsi="Times New Roman"/>
          <w:b/>
          <w:sz w:val="28"/>
          <w:szCs w:val="28"/>
          <w:u w:val="single"/>
          <w:lang w:val="sq-AL"/>
        </w:rPr>
        <w:t xml:space="preserve"> NË REPUBLIKËN E SHQIPËRISË</w:t>
      </w:r>
      <w:r w:rsidRPr="00C03A20">
        <w:rPr>
          <w:rFonts w:ascii="Times New Roman" w:hAnsi="Times New Roman"/>
          <w:b/>
          <w:sz w:val="28"/>
          <w:szCs w:val="28"/>
          <w:u w:val="single"/>
          <w:lang w:val="sq-AL"/>
        </w:rPr>
        <w:t>”</w:t>
      </w:r>
    </w:p>
    <w:p w:rsidR="00D33F99" w:rsidRPr="00C03A20" w:rsidRDefault="00D33F99" w:rsidP="00C03A20">
      <w:pPr>
        <w:spacing w:after="0"/>
        <w:jc w:val="center"/>
        <w:rPr>
          <w:rFonts w:ascii="Times New Roman" w:hAnsi="Times New Roman"/>
          <w:b/>
          <w:color w:val="000000"/>
          <w:sz w:val="28"/>
          <w:szCs w:val="28"/>
          <w:lang w:val="sq-AL"/>
        </w:rPr>
      </w:pPr>
    </w:p>
    <w:p w:rsidR="00734A22" w:rsidRPr="00C03A20" w:rsidRDefault="00734A22" w:rsidP="00C03A20">
      <w:pPr>
        <w:pStyle w:val="ListParagraph"/>
        <w:numPr>
          <w:ilvl w:val="0"/>
          <w:numId w:val="7"/>
        </w:numPr>
        <w:spacing w:after="0"/>
        <w:ind w:left="720" w:hanging="540"/>
        <w:jc w:val="both"/>
        <w:rPr>
          <w:rFonts w:ascii="Times New Roman" w:hAnsi="Times New Roman"/>
          <w:b/>
          <w:bCs/>
          <w:sz w:val="28"/>
          <w:szCs w:val="28"/>
          <w:lang w:val="sq-AL"/>
        </w:rPr>
      </w:pPr>
      <w:r w:rsidRPr="00C03A20">
        <w:rPr>
          <w:rFonts w:ascii="Times New Roman" w:hAnsi="Times New Roman"/>
          <w:b/>
          <w:bCs/>
          <w:sz w:val="28"/>
          <w:szCs w:val="28"/>
          <w:lang w:val="sq-AL"/>
        </w:rPr>
        <w:t>QËLLIMI I PROJEKTLIGJIT DHE OBJEKTIVAT QË SYNOHEN TË ARRIHEN</w:t>
      </w:r>
    </w:p>
    <w:p w:rsidR="00734A22" w:rsidRPr="00C03A20" w:rsidRDefault="00734A22" w:rsidP="00C03A20">
      <w:pPr>
        <w:spacing w:after="0"/>
        <w:jc w:val="both"/>
        <w:rPr>
          <w:rFonts w:ascii="Times New Roman" w:hAnsi="Times New Roman"/>
          <w:sz w:val="28"/>
          <w:szCs w:val="28"/>
          <w:lang w:val="sq-AL"/>
        </w:rPr>
      </w:pPr>
    </w:p>
    <w:p w:rsidR="008C07E1" w:rsidRPr="00C03A20" w:rsidRDefault="008C07E1" w:rsidP="00C03A20">
      <w:pPr>
        <w:spacing w:after="0"/>
        <w:jc w:val="both"/>
        <w:rPr>
          <w:rFonts w:ascii="Times New Roman" w:hAnsi="Times New Roman"/>
          <w:color w:val="000000" w:themeColor="text1"/>
          <w:sz w:val="28"/>
          <w:szCs w:val="28"/>
          <w:lang w:val="sq-AL"/>
        </w:rPr>
      </w:pPr>
      <w:r w:rsidRPr="00C03A20">
        <w:rPr>
          <w:rFonts w:ascii="Times New Roman" w:hAnsi="Times New Roman"/>
          <w:sz w:val="28"/>
          <w:szCs w:val="28"/>
          <w:lang w:val="sq-AL"/>
        </w:rPr>
        <w:t xml:space="preserve">Përcaktimi i rregullave kombëtare për arbitrazhin është një nga prioritetet e shtetit shqiptar, Këshillit të Ministrave dhe Ministrisë së Drejtësisë në drejtim të </w:t>
      </w:r>
      <w:r w:rsidRPr="00C03A20">
        <w:rPr>
          <w:rFonts w:ascii="Times New Roman" w:hAnsi="Times New Roman"/>
          <w:color w:val="000000" w:themeColor="text1"/>
          <w:sz w:val="28"/>
          <w:szCs w:val="28"/>
          <w:lang w:val="sq-AL"/>
        </w:rPr>
        <w:t>konsolidimit të shtetit të së drejtës, garantimin e të drejtave të njeriut, zgjidhjen e mosmarrëveshjeve dhe konflikteve midis shtetit dhe palëve private, apo palëve private me njëra-tjetrën.</w:t>
      </w:r>
      <w:r w:rsidR="00995978" w:rsidRPr="00C03A20">
        <w:rPr>
          <w:rFonts w:ascii="Times New Roman" w:hAnsi="Times New Roman"/>
          <w:color w:val="000000" w:themeColor="text1"/>
          <w:sz w:val="28"/>
          <w:szCs w:val="28"/>
          <w:lang w:val="sq-AL"/>
        </w:rPr>
        <w:t xml:space="preserve"> Arbitrazhi ka q</w:t>
      </w:r>
      <w:r w:rsidR="003B247E" w:rsidRPr="00C03A20">
        <w:rPr>
          <w:rFonts w:ascii="Times New Roman" w:hAnsi="Times New Roman"/>
          <w:color w:val="000000" w:themeColor="text1"/>
          <w:sz w:val="28"/>
          <w:szCs w:val="28"/>
          <w:lang w:val="sq-AL"/>
        </w:rPr>
        <w:t>e</w:t>
      </w:r>
      <w:r w:rsidR="00995978" w:rsidRPr="00C03A20">
        <w:rPr>
          <w:rFonts w:ascii="Times New Roman" w:hAnsi="Times New Roman"/>
          <w:color w:val="000000" w:themeColor="text1"/>
          <w:sz w:val="28"/>
          <w:szCs w:val="28"/>
          <w:lang w:val="sq-AL"/>
        </w:rPr>
        <w:t>n</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 xml:space="preserve"> pjes</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 xml:space="preserve"> e sistemit </w:t>
      </w:r>
      <w:r w:rsidR="00CC1748" w:rsidRPr="00C03A20">
        <w:rPr>
          <w:rFonts w:ascii="Times New Roman" w:hAnsi="Times New Roman"/>
          <w:color w:val="000000" w:themeColor="text1"/>
          <w:sz w:val="28"/>
          <w:szCs w:val="28"/>
          <w:lang w:val="sq-AL"/>
        </w:rPr>
        <w:t xml:space="preserve">ligjor </w:t>
      </w:r>
      <w:r w:rsidR="00995978" w:rsidRPr="00C03A20">
        <w:rPr>
          <w:rFonts w:ascii="Times New Roman" w:hAnsi="Times New Roman"/>
          <w:color w:val="000000" w:themeColor="text1"/>
          <w:sz w:val="28"/>
          <w:szCs w:val="28"/>
          <w:lang w:val="sq-AL"/>
        </w:rPr>
        <w:t>vendas q</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 xml:space="preserve"> me miratimin e Kodit t</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 xml:space="preserve"> Procedur</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s Civile me ligjin nr. 8116, dat</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 xml:space="preserve"> 29.03.1996, por k</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to parashikime jan</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 xml:space="preserve"> shfuqizuar </w:t>
      </w:r>
      <w:r w:rsidRPr="00C03A20">
        <w:rPr>
          <w:rFonts w:ascii="Times New Roman" w:hAnsi="Times New Roman"/>
          <w:color w:val="000000" w:themeColor="text1"/>
          <w:sz w:val="28"/>
          <w:szCs w:val="28"/>
          <w:lang w:val="sq-AL"/>
        </w:rPr>
        <w:t>me ligjin Nr.112/2013</w:t>
      </w:r>
      <w:r w:rsidR="00995978" w:rsidRPr="00C03A20">
        <w:rPr>
          <w:rFonts w:ascii="Times New Roman" w:hAnsi="Times New Roman"/>
          <w:color w:val="000000" w:themeColor="text1"/>
          <w:sz w:val="28"/>
          <w:szCs w:val="28"/>
          <w:lang w:val="sq-AL"/>
        </w:rPr>
        <w:t>, dat</w:t>
      </w:r>
      <w:r w:rsidR="006961CA" w:rsidRPr="00C03A20">
        <w:rPr>
          <w:rFonts w:ascii="Times New Roman" w:hAnsi="Times New Roman"/>
          <w:color w:val="000000" w:themeColor="text1"/>
          <w:sz w:val="28"/>
          <w:szCs w:val="28"/>
          <w:lang w:val="sq-AL"/>
        </w:rPr>
        <w:t>ë</w:t>
      </w:r>
      <w:r w:rsidR="00995978" w:rsidRPr="00C03A20">
        <w:rPr>
          <w:rFonts w:ascii="Times New Roman" w:hAnsi="Times New Roman"/>
          <w:color w:val="000000" w:themeColor="text1"/>
          <w:sz w:val="28"/>
          <w:szCs w:val="28"/>
          <w:lang w:val="sq-AL"/>
        </w:rPr>
        <w:t xml:space="preserve"> 18.04.2013</w:t>
      </w:r>
      <w:r w:rsidRPr="00C03A20">
        <w:rPr>
          <w:rFonts w:ascii="Times New Roman" w:hAnsi="Times New Roman"/>
          <w:color w:val="000000" w:themeColor="text1"/>
          <w:sz w:val="28"/>
          <w:szCs w:val="28"/>
          <w:lang w:val="sq-AL"/>
        </w:rPr>
        <w:t xml:space="preserve">. </w:t>
      </w:r>
      <w:r w:rsidR="00395080" w:rsidRPr="00C03A20">
        <w:rPr>
          <w:rFonts w:ascii="Times New Roman" w:hAnsi="Times New Roman"/>
          <w:color w:val="000000" w:themeColor="text1"/>
          <w:sz w:val="28"/>
          <w:szCs w:val="28"/>
          <w:lang w:val="sq-AL"/>
        </w:rPr>
        <w:t>Ekzistenca e nj</w:t>
      </w:r>
      <w:r w:rsidR="007B69B6" w:rsidRPr="00C03A20">
        <w:rPr>
          <w:rFonts w:ascii="Times New Roman" w:hAnsi="Times New Roman"/>
          <w:color w:val="000000" w:themeColor="text1"/>
          <w:sz w:val="28"/>
          <w:szCs w:val="28"/>
          <w:lang w:val="sq-AL"/>
        </w:rPr>
        <w:t>ë</w:t>
      </w:r>
      <w:r w:rsidR="00395080" w:rsidRPr="00C03A20">
        <w:rPr>
          <w:rFonts w:ascii="Times New Roman" w:hAnsi="Times New Roman"/>
          <w:color w:val="000000" w:themeColor="text1"/>
          <w:sz w:val="28"/>
          <w:szCs w:val="28"/>
          <w:lang w:val="sq-AL"/>
        </w:rPr>
        <w:t xml:space="preserve"> vakumi ligjor q</w:t>
      </w:r>
      <w:r w:rsidR="007B69B6" w:rsidRPr="00C03A20">
        <w:rPr>
          <w:rFonts w:ascii="Times New Roman" w:hAnsi="Times New Roman"/>
          <w:color w:val="000000" w:themeColor="text1"/>
          <w:sz w:val="28"/>
          <w:szCs w:val="28"/>
          <w:lang w:val="sq-AL"/>
        </w:rPr>
        <w:t>ë</w:t>
      </w:r>
      <w:r w:rsidR="00395080" w:rsidRPr="00C03A20">
        <w:rPr>
          <w:rFonts w:ascii="Times New Roman" w:hAnsi="Times New Roman"/>
          <w:color w:val="000000" w:themeColor="text1"/>
          <w:sz w:val="28"/>
          <w:szCs w:val="28"/>
          <w:lang w:val="sq-AL"/>
        </w:rPr>
        <w:t xml:space="preserve"> nga viti 2013 ka </w:t>
      </w:r>
      <w:r w:rsidR="007B69B6" w:rsidRPr="00C03A20">
        <w:rPr>
          <w:rFonts w:ascii="Times New Roman" w:hAnsi="Times New Roman"/>
          <w:color w:val="000000" w:themeColor="text1"/>
          <w:sz w:val="28"/>
          <w:szCs w:val="28"/>
          <w:lang w:val="sq-AL"/>
        </w:rPr>
        <w:t>pasur një efekt negativ në drejtim të zhvillimit të proceseve të arbitrazhit nga gjykatat e arbitrazhit vendase.</w:t>
      </w:r>
    </w:p>
    <w:p w:rsidR="00995978" w:rsidRPr="00C03A20" w:rsidRDefault="00995978" w:rsidP="00C03A20">
      <w:pPr>
        <w:spacing w:after="0"/>
        <w:jc w:val="both"/>
        <w:rPr>
          <w:rFonts w:ascii="Times New Roman" w:hAnsi="Times New Roman"/>
          <w:color w:val="000000" w:themeColor="text1"/>
          <w:sz w:val="28"/>
          <w:szCs w:val="28"/>
          <w:lang w:val="sq-AL"/>
        </w:rPr>
      </w:pPr>
    </w:p>
    <w:p w:rsidR="008C07E1" w:rsidRPr="00C03A20" w:rsidRDefault="008C07E1" w:rsidP="00C03A20">
      <w:pPr>
        <w:spacing w:after="0"/>
        <w:jc w:val="both"/>
        <w:rPr>
          <w:rFonts w:ascii="Times New Roman" w:hAnsi="Times New Roman"/>
          <w:color w:val="000000" w:themeColor="text1"/>
          <w:sz w:val="28"/>
          <w:szCs w:val="28"/>
          <w:lang w:val="sq-AL"/>
        </w:rPr>
      </w:pPr>
      <w:r w:rsidRPr="00C03A20">
        <w:rPr>
          <w:rFonts w:ascii="Times New Roman" w:hAnsi="Times New Roman"/>
          <w:color w:val="000000" w:themeColor="text1"/>
          <w:sz w:val="28"/>
          <w:szCs w:val="28"/>
          <w:lang w:val="sq-AL"/>
        </w:rPr>
        <w:t>Qëllimi kryesor i kë</w:t>
      </w:r>
      <w:r w:rsidR="00995978" w:rsidRPr="00C03A20">
        <w:rPr>
          <w:rFonts w:ascii="Times New Roman" w:hAnsi="Times New Roman"/>
          <w:color w:val="000000" w:themeColor="text1"/>
          <w:sz w:val="28"/>
          <w:szCs w:val="28"/>
          <w:lang w:val="sq-AL"/>
        </w:rPr>
        <w:t>tij projekt-akti</w:t>
      </w:r>
      <w:r w:rsidRPr="00C03A20">
        <w:rPr>
          <w:rFonts w:ascii="Times New Roman" w:hAnsi="Times New Roman"/>
          <w:color w:val="000000" w:themeColor="text1"/>
          <w:sz w:val="28"/>
          <w:szCs w:val="28"/>
          <w:lang w:val="sq-AL"/>
        </w:rPr>
        <w:t xml:space="preserve"> është:</w:t>
      </w:r>
    </w:p>
    <w:p w:rsidR="00995978" w:rsidRPr="00C03A20" w:rsidRDefault="00995978" w:rsidP="00C03A20">
      <w:pPr>
        <w:spacing w:after="0"/>
        <w:ind w:left="360" w:hanging="360"/>
        <w:jc w:val="both"/>
        <w:rPr>
          <w:rFonts w:ascii="Times New Roman" w:hAnsi="Times New Roman"/>
          <w:color w:val="000000" w:themeColor="text1"/>
          <w:sz w:val="28"/>
          <w:szCs w:val="28"/>
          <w:lang w:val="sq-AL"/>
        </w:rPr>
      </w:pPr>
    </w:p>
    <w:p w:rsidR="008C07E1" w:rsidRPr="00C03A20" w:rsidRDefault="008C07E1" w:rsidP="00C03A20">
      <w:pPr>
        <w:pStyle w:val="ListParagraph"/>
        <w:numPr>
          <w:ilvl w:val="0"/>
          <w:numId w:val="12"/>
        </w:numPr>
        <w:spacing w:after="0"/>
        <w:ind w:left="360"/>
        <w:jc w:val="both"/>
        <w:rPr>
          <w:rFonts w:ascii="Times New Roman" w:hAnsi="Times New Roman"/>
          <w:color w:val="000000" w:themeColor="text1"/>
          <w:sz w:val="28"/>
          <w:szCs w:val="28"/>
          <w:lang w:val="sq-AL"/>
        </w:rPr>
      </w:pPr>
      <w:r w:rsidRPr="00C03A20">
        <w:rPr>
          <w:rFonts w:ascii="Times New Roman" w:hAnsi="Times New Roman"/>
          <w:color w:val="000000" w:themeColor="text1"/>
          <w:sz w:val="28"/>
          <w:szCs w:val="28"/>
          <w:lang w:val="sq-AL"/>
        </w:rPr>
        <w:t>ruajta e koherencës midis legjislacionit të brendshëm dhe atij ndërkombëtar, lidhur me fushën e arbitrazhit.</w:t>
      </w:r>
    </w:p>
    <w:p w:rsidR="008C07E1" w:rsidRPr="00C03A20" w:rsidRDefault="008C07E1" w:rsidP="00C03A20">
      <w:pPr>
        <w:pStyle w:val="ListParagraph"/>
        <w:numPr>
          <w:ilvl w:val="0"/>
          <w:numId w:val="12"/>
        </w:numPr>
        <w:spacing w:after="0"/>
        <w:ind w:left="360"/>
        <w:jc w:val="both"/>
        <w:rPr>
          <w:rFonts w:ascii="Times New Roman" w:hAnsi="Times New Roman"/>
          <w:color w:val="000000" w:themeColor="text1"/>
          <w:sz w:val="28"/>
          <w:szCs w:val="28"/>
          <w:lang w:val="sq-AL"/>
        </w:rPr>
      </w:pPr>
      <w:r w:rsidRPr="00C03A20">
        <w:rPr>
          <w:rFonts w:ascii="Times New Roman" w:hAnsi="Times New Roman"/>
          <w:color w:val="000000" w:themeColor="text1"/>
          <w:sz w:val="28"/>
          <w:szCs w:val="28"/>
          <w:lang w:val="sq-AL"/>
        </w:rPr>
        <w:t xml:space="preserve">përmirësimi i procedurave të gjykimit dhe rritja e efikasitetit në trajtimin e konflikteve, për të garantuar respektimin e të drejtave dhe lirive themelore, në </w:t>
      </w:r>
      <w:r w:rsidRPr="00C03A20">
        <w:rPr>
          <w:rFonts w:ascii="Times New Roman" w:hAnsi="Times New Roman"/>
          <w:sz w:val="28"/>
          <w:szCs w:val="28"/>
          <w:lang w:val="sq-AL"/>
        </w:rPr>
        <w:t>përputhje me aktet e Bashkimit Evropian.</w:t>
      </w:r>
    </w:p>
    <w:p w:rsidR="008C07E1" w:rsidRPr="00C03A20" w:rsidRDefault="008C07E1" w:rsidP="00C03A20">
      <w:pPr>
        <w:pStyle w:val="ListParagraph"/>
        <w:numPr>
          <w:ilvl w:val="0"/>
          <w:numId w:val="12"/>
        </w:numPr>
        <w:spacing w:after="0"/>
        <w:ind w:left="360"/>
        <w:jc w:val="both"/>
        <w:rPr>
          <w:rFonts w:ascii="Times New Roman" w:hAnsi="Times New Roman"/>
          <w:color w:val="FF0000"/>
          <w:sz w:val="28"/>
          <w:szCs w:val="28"/>
          <w:lang w:val="sq-AL"/>
        </w:rPr>
      </w:pPr>
      <w:r w:rsidRPr="00C03A20">
        <w:rPr>
          <w:rFonts w:ascii="Times New Roman" w:hAnsi="Times New Roman"/>
          <w:sz w:val="28"/>
          <w:szCs w:val="28"/>
          <w:lang w:val="sq-AL"/>
        </w:rPr>
        <w:t>përcaktimi i rregullave për marrëveshjen e arbitrazhit</w:t>
      </w:r>
      <w:r w:rsidR="007F6E9D" w:rsidRPr="00C03A20">
        <w:rPr>
          <w:rFonts w:ascii="Times New Roman" w:hAnsi="Times New Roman"/>
          <w:sz w:val="28"/>
          <w:szCs w:val="28"/>
          <w:lang w:val="sq-AL"/>
        </w:rPr>
        <w:t>, n</w:t>
      </w:r>
      <w:r w:rsidR="006961CA" w:rsidRPr="00C03A20">
        <w:rPr>
          <w:rFonts w:ascii="Times New Roman" w:hAnsi="Times New Roman"/>
          <w:sz w:val="28"/>
          <w:szCs w:val="28"/>
          <w:lang w:val="sq-AL"/>
        </w:rPr>
        <w:t>ë</w:t>
      </w:r>
      <w:r w:rsidR="007F6E9D" w:rsidRPr="00C03A20">
        <w:rPr>
          <w:rFonts w:ascii="Times New Roman" w:hAnsi="Times New Roman"/>
          <w:sz w:val="28"/>
          <w:szCs w:val="28"/>
          <w:lang w:val="sq-AL"/>
        </w:rPr>
        <w:t xml:space="preserve"> p</w:t>
      </w:r>
      <w:r w:rsidR="006961CA" w:rsidRPr="00C03A20">
        <w:rPr>
          <w:rFonts w:ascii="Times New Roman" w:hAnsi="Times New Roman"/>
          <w:sz w:val="28"/>
          <w:szCs w:val="28"/>
          <w:lang w:val="sq-AL"/>
        </w:rPr>
        <w:t>ë</w:t>
      </w:r>
      <w:r w:rsidR="007F6E9D" w:rsidRPr="00C03A20">
        <w:rPr>
          <w:rFonts w:ascii="Times New Roman" w:hAnsi="Times New Roman"/>
          <w:sz w:val="28"/>
          <w:szCs w:val="28"/>
          <w:lang w:val="sq-AL"/>
        </w:rPr>
        <w:t xml:space="preserve">rputhje me parashikimet e </w:t>
      </w:r>
      <w:r w:rsidRPr="00C03A20">
        <w:rPr>
          <w:rFonts w:ascii="Times New Roman" w:hAnsi="Times New Roman"/>
          <w:color w:val="000000" w:themeColor="text1"/>
          <w:sz w:val="28"/>
          <w:szCs w:val="28"/>
          <w:lang w:val="sq-AL"/>
        </w:rPr>
        <w:t xml:space="preserve">ligjit model UNCITRAL dhe </w:t>
      </w:r>
      <w:r w:rsidR="007F6E9D" w:rsidRPr="00C03A20">
        <w:rPr>
          <w:rFonts w:ascii="Times New Roman" w:hAnsi="Times New Roman"/>
          <w:color w:val="000000" w:themeColor="text1"/>
          <w:sz w:val="28"/>
          <w:szCs w:val="28"/>
          <w:lang w:val="sq-AL"/>
        </w:rPr>
        <w:t>t</w:t>
      </w:r>
      <w:r w:rsidR="006961CA" w:rsidRPr="00C03A20">
        <w:rPr>
          <w:rFonts w:ascii="Times New Roman" w:hAnsi="Times New Roman"/>
          <w:color w:val="000000" w:themeColor="text1"/>
          <w:sz w:val="28"/>
          <w:szCs w:val="28"/>
          <w:lang w:val="sq-AL"/>
        </w:rPr>
        <w:t>ë</w:t>
      </w:r>
      <w:r w:rsidR="007F6E9D" w:rsidRPr="00C03A20">
        <w:rPr>
          <w:rFonts w:ascii="Times New Roman" w:hAnsi="Times New Roman"/>
          <w:color w:val="000000" w:themeColor="text1"/>
          <w:sz w:val="28"/>
          <w:szCs w:val="28"/>
          <w:lang w:val="sq-AL"/>
        </w:rPr>
        <w:t xml:space="preserve"> </w:t>
      </w:r>
      <w:r w:rsidRPr="00C03A20">
        <w:rPr>
          <w:rFonts w:ascii="Times New Roman" w:hAnsi="Times New Roman"/>
          <w:color w:val="000000" w:themeColor="text1"/>
          <w:sz w:val="28"/>
          <w:szCs w:val="28"/>
          <w:lang w:val="sq-AL"/>
        </w:rPr>
        <w:t>Konventës së Nju Jork-ut.</w:t>
      </w:r>
    </w:p>
    <w:p w:rsidR="008C07E1" w:rsidRPr="00C03A20" w:rsidRDefault="008C07E1" w:rsidP="00C03A20">
      <w:pPr>
        <w:pStyle w:val="ListParagraph"/>
        <w:numPr>
          <w:ilvl w:val="0"/>
          <w:numId w:val="12"/>
        </w:numPr>
        <w:spacing w:after="0"/>
        <w:ind w:left="360"/>
        <w:jc w:val="both"/>
        <w:rPr>
          <w:rFonts w:ascii="Times New Roman" w:hAnsi="Times New Roman"/>
          <w:sz w:val="28"/>
          <w:szCs w:val="28"/>
          <w:lang w:val="sq-AL"/>
        </w:rPr>
      </w:pPr>
      <w:r w:rsidRPr="00C03A20">
        <w:rPr>
          <w:rFonts w:ascii="Times New Roman" w:hAnsi="Times New Roman"/>
          <w:sz w:val="28"/>
          <w:szCs w:val="28"/>
          <w:lang w:val="sq-AL"/>
        </w:rPr>
        <w:t xml:space="preserve">njohja dhe zbatimi i vendimeve të arbitrazhit. </w:t>
      </w:r>
    </w:p>
    <w:p w:rsidR="008C07E1" w:rsidRPr="00C03A20" w:rsidRDefault="008C07E1" w:rsidP="00C03A20">
      <w:pPr>
        <w:pStyle w:val="ListParagraph"/>
        <w:numPr>
          <w:ilvl w:val="0"/>
          <w:numId w:val="12"/>
        </w:numPr>
        <w:spacing w:after="0"/>
        <w:ind w:left="360"/>
        <w:jc w:val="both"/>
        <w:rPr>
          <w:rFonts w:ascii="Times New Roman" w:hAnsi="Times New Roman"/>
          <w:sz w:val="28"/>
          <w:szCs w:val="28"/>
          <w:lang w:val="sq-AL"/>
        </w:rPr>
      </w:pPr>
      <w:r w:rsidRPr="00C03A20">
        <w:rPr>
          <w:rFonts w:ascii="Times New Roman" w:hAnsi="Times New Roman"/>
          <w:sz w:val="28"/>
          <w:szCs w:val="28"/>
          <w:lang w:val="sq-AL"/>
        </w:rPr>
        <w:t>krijimi i një regjimi pozitiv për zbatimin praktik të kësaj nisme.</w:t>
      </w:r>
    </w:p>
    <w:p w:rsidR="008C07E1" w:rsidRPr="00C03A20" w:rsidRDefault="008C07E1" w:rsidP="00C03A20">
      <w:pPr>
        <w:spacing w:after="0"/>
        <w:jc w:val="both"/>
        <w:rPr>
          <w:rFonts w:ascii="Times New Roman" w:hAnsi="Times New Roman"/>
          <w:color w:val="000000" w:themeColor="text1"/>
          <w:sz w:val="28"/>
          <w:szCs w:val="28"/>
          <w:lang w:val="sq-AL"/>
        </w:rPr>
      </w:pPr>
    </w:p>
    <w:p w:rsidR="00EB03EB" w:rsidRPr="00C03A20" w:rsidRDefault="00EB03EB" w:rsidP="00C03A20">
      <w:pPr>
        <w:spacing w:after="0"/>
        <w:jc w:val="both"/>
        <w:rPr>
          <w:rFonts w:ascii="Times New Roman" w:hAnsi="Times New Roman"/>
          <w:color w:val="000000" w:themeColor="text1"/>
          <w:sz w:val="28"/>
          <w:szCs w:val="28"/>
          <w:lang w:val="sq-AL"/>
        </w:rPr>
      </w:pPr>
      <w:r w:rsidRPr="00C03A20">
        <w:rPr>
          <w:rFonts w:ascii="Times New Roman" w:hAnsi="Times New Roman"/>
          <w:sz w:val="28"/>
          <w:szCs w:val="28"/>
          <w:lang w:val="sq-AL"/>
        </w:rPr>
        <w:t>Efektet që synon propozimi janë të tilla që rregullojnë në tërësi kuadrin ligjor duke gjetur një zgjidhje fleksibël, afatgjatë dhe të gjithëpranuar</w:t>
      </w:r>
      <w:r w:rsidR="007F6E9D" w:rsidRPr="00C03A20">
        <w:rPr>
          <w:rFonts w:ascii="Times New Roman" w:hAnsi="Times New Roman"/>
          <w:sz w:val="28"/>
          <w:szCs w:val="28"/>
          <w:lang w:val="sq-AL"/>
        </w:rPr>
        <w:t>.</w:t>
      </w:r>
    </w:p>
    <w:p w:rsidR="00EB03EB" w:rsidRPr="00C03A20" w:rsidRDefault="00EB03EB" w:rsidP="00C03A20">
      <w:pPr>
        <w:spacing w:after="0"/>
        <w:ind w:left="720" w:hanging="720"/>
        <w:jc w:val="both"/>
        <w:rPr>
          <w:rFonts w:ascii="Times New Roman" w:hAnsi="Times New Roman"/>
          <w:color w:val="000000" w:themeColor="text1"/>
          <w:sz w:val="28"/>
          <w:szCs w:val="28"/>
          <w:lang w:val="sq-AL"/>
        </w:rPr>
      </w:pPr>
    </w:p>
    <w:p w:rsidR="003D1781" w:rsidRPr="00C03A20" w:rsidRDefault="003D1781" w:rsidP="00C03A20">
      <w:pPr>
        <w:spacing w:after="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Objektivat e përgjithshëm janë</w:t>
      </w:r>
      <w:r w:rsidRPr="00C03A20">
        <w:rPr>
          <w:rFonts w:ascii="Times New Roman" w:eastAsia="Times New Roman" w:hAnsi="Times New Roman"/>
          <w:color w:val="000000"/>
          <w:sz w:val="28"/>
          <w:szCs w:val="28"/>
        </w:rPr>
        <w:t>:</w:t>
      </w:r>
      <w:r w:rsidRPr="00C03A20">
        <w:rPr>
          <w:rFonts w:ascii="Times New Roman" w:eastAsia="Times New Roman" w:hAnsi="Times New Roman"/>
          <w:color w:val="000000"/>
          <w:sz w:val="28"/>
          <w:szCs w:val="28"/>
          <w:lang w:val="sq-AL"/>
        </w:rPr>
        <w:t xml:space="preserve"> </w:t>
      </w:r>
    </w:p>
    <w:p w:rsidR="003D1781" w:rsidRPr="00C03A20" w:rsidRDefault="003D1781" w:rsidP="00C03A20">
      <w:pPr>
        <w:spacing w:after="0"/>
        <w:jc w:val="both"/>
        <w:rPr>
          <w:rFonts w:ascii="Times New Roman" w:eastAsia="Times New Roman" w:hAnsi="Times New Roman"/>
          <w:color w:val="000000"/>
          <w:sz w:val="28"/>
          <w:szCs w:val="28"/>
          <w:lang w:val="sq-AL"/>
        </w:rPr>
      </w:pPr>
    </w:p>
    <w:p w:rsidR="003D1781" w:rsidRPr="00C03A20" w:rsidRDefault="003D1781" w:rsidP="00C03A20">
      <w:pPr>
        <w:numPr>
          <w:ilvl w:val="0"/>
          <w:numId w:val="9"/>
        </w:numPr>
        <w:tabs>
          <w:tab w:val="left" w:pos="567"/>
        </w:tabs>
        <w:spacing w:after="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lastRenderedPageBreak/>
        <w:t xml:space="preserve"> Përafrimi i legjislacionit shqiptar me të drejtën ndërkombëtare dhe legjislacionin e Bashkimit Evropian.</w:t>
      </w:r>
    </w:p>
    <w:p w:rsidR="003D1781" w:rsidRPr="00C03A20" w:rsidRDefault="003D1781" w:rsidP="00C03A20">
      <w:pPr>
        <w:tabs>
          <w:tab w:val="left" w:pos="567"/>
        </w:tabs>
        <w:spacing w:after="0"/>
        <w:ind w:left="720"/>
        <w:jc w:val="both"/>
        <w:rPr>
          <w:rFonts w:ascii="Times New Roman" w:eastAsia="Times New Roman" w:hAnsi="Times New Roman"/>
          <w:color w:val="000000"/>
          <w:sz w:val="28"/>
          <w:szCs w:val="28"/>
          <w:lang w:val="sq-AL"/>
        </w:rPr>
      </w:pPr>
    </w:p>
    <w:p w:rsidR="003D1781" w:rsidRPr="00C03A20" w:rsidRDefault="003D1781" w:rsidP="00C03A20">
      <w:pPr>
        <w:numPr>
          <w:ilvl w:val="0"/>
          <w:numId w:val="9"/>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Përmirësimi i kuadrit ligjor shqiptar për arbitrazhin, procedurat e zbatimit dhe implementimin e tij në Shqipëri.</w:t>
      </w:r>
    </w:p>
    <w:p w:rsidR="003D1781" w:rsidRPr="00C03A20" w:rsidRDefault="003D1781" w:rsidP="00C03A20">
      <w:pPr>
        <w:spacing w:after="0"/>
        <w:ind w:left="360"/>
        <w:jc w:val="both"/>
        <w:rPr>
          <w:rFonts w:ascii="Times New Roman" w:eastAsia="Times New Roman" w:hAnsi="Times New Roman"/>
          <w:sz w:val="28"/>
          <w:szCs w:val="28"/>
          <w:lang w:val="sq-AL"/>
        </w:rPr>
      </w:pPr>
      <w:r w:rsidRPr="00C03A20">
        <w:rPr>
          <w:rFonts w:ascii="Times New Roman" w:eastAsia="Times New Roman" w:hAnsi="Times New Roman"/>
          <w:sz w:val="28"/>
          <w:szCs w:val="28"/>
          <w:lang w:val="sq-AL"/>
        </w:rPr>
        <w:t>Qëllimi i këtij projektligji është të përcaktojë parime për rregullimin e arbitrazhit kombëtar dhe ndërkombëtar, duke krijuar një bazë ligjore të nevojshme dhe të domosdoshme, për ushtrimin e profesionit të arbitrit, rregullat e procedurat e zhvillimit të procedimeve të arbitrazhit, të cilat janë të përcaktuara sipas vullnetit të palëve dhe mjetet juridike me anë të cilit shpreh qëndrimin e saj gjykata e arbitrazhit dhe kriteret e pamundësisë së njohjes apo ekzekutimit të vendimeve të arbitrazhit.</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9"/>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 xml:space="preserve"> Njohja dhe zbatimi i të drejtës së arbitrazhit në Shqipëri.</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Hartimi dhe miratimi i projektligjit për arbitrazhin e brendshëm dhe atë ndërkombëtar synon ndër të tjera dhe promovimin e tij si një nga metodat alternative për zgjidhjen e mosmarrëveshjeve midis palëve.</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9"/>
        </w:numPr>
        <w:tabs>
          <w:tab w:val="left" w:pos="740"/>
        </w:tabs>
        <w:spacing w:after="0"/>
        <w:jc w:val="both"/>
        <w:rPr>
          <w:rFonts w:ascii="Times New Roman" w:eastAsia="Symbol" w:hAnsi="Times New Roman"/>
          <w:color w:val="000000"/>
          <w:sz w:val="28"/>
          <w:szCs w:val="28"/>
          <w:lang w:val="sq-AL"/>
        </w:rPr>
      </w:pPr>
      <w:r w:rsidRPr="00C03A20">
        <w:rPr>
          <w:rFonts w:ascii="Times New Roman" w:eastAsia="Gill Sans MT" w:hAnsi="Times New Roman"/>
          <w:color w:val="000000"/>
          <w:sz w:val="28"/>
          <w:szCs w:val="28"/>
          <w:lang w:val="sq-AL"/>
        </w:rPr>
        <w:t>Aplikimi i rregullave që ndërlidhen me zbatimin e ligjit për arbitrazhin në kontekstin kombëtar.</w:t>
      </w:r>
    </w:p>
    <w:p w:rsidR="003D1781" w:rsidRPr="00C03A20" w:rsidRDefault="003D1781" w:rsidP="00C03A20">
      <w:pPr>
        <w:tabs>
          <w:tab w:val="left" w:pos="740"/>
        </w:tabs>
        <w:spacing w:after="0"/>
        <w:ind w:left="720"/>
        <w:jc w:val="both"/>
        <w:rPr>
          <w:rFonts w:ascii="Times New Roman" w:eastAsia="Symbol" w:hAnsi="Times New Roman"/>
          <w:color w:val="000000"/>
          <w:sz w:val="28"/>
          <w:szCs w:val="28"/>
          <w:lang w:val="sq-AL"/>
        </w:rPr>
      </w:pPr>
    </w:p>
    <w:p w:rsidR="003D1781" w:rsidRPr="00C03A20" w:rsidRDefault="003D1781" w:rsidP="00C03A20">
      <w:pPr>
        <w:numPr>
          <w:ilvl w:val="0"/>
          <w:numId w:val="9"/>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 xml:space="preserve"> Përcaktohen rregullat e interpretimit të një procedure arbitrazhi.</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Në projektligj janë trajtuar dhe rregullat e interpretimit lidhur me procedurën e arbitrazhit.</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9"/>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 xml:space="preserve"> Të krijohet besimi që do të jepet një vendim i drejtë.</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Në kushtet që arbitrazhi zhvillohet me anë të një procedure të pavarur, çka do të thotë se nuk ndikohet nga institucionet e tjera shtetërore, përbën një avantazh dhe do të rrisë besimin e palëve për dhënien e një vendimi të drejtë dhe të paanshëm.</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9"/>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Të krijohet një sistem më fleksibël dhe funksional për zgjidhjen e mosmarrëveshjeve.</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 xml:space="preserve">Arbitrazhi është një proces më fleksibël krahasuar me një proces gjyqësor. Arbitrazhi nuk është pjesë e sistemit shtetëror të gjykatave. Sikurse u trajtua dhe më sipër, edhe pse arbitrazhi mbështetet në një procedurë konsensuale </w:t>
      </w:r>
      <w:r w:rsidRPr="00C03A20">
        <w:rPr>
          <w:rFonts w:ascii="Times New Roman" w:eastAsia="Times New Roman" w:hAnsi="Times New Roman"/>
          <w:color w:val="000000"/>
          <w:sz w:val="28"/>
          <w:szCs w:val="28"/>
          <w:lang w:val="sq-AL"/>
        </w:rPr>
        <w:lastRenderedPageBreak/>
        <w:t>mbështetur në marrëveshjen e lidhur midis palëve, por funksioni që realizon është i njëjtë me atë sistemit të gjykatave. Në përfundim të procesit konkludohet me v</w:t>
      </w:r>
      <w:r w:rsidRPr="00C03A20">
        <w:rPr>
          <w:rFonts w:ascii="Times New Roman" w:hAnsi="Times New Roman"/>
          <w:sz w:val="28"/>
          <w:szCs w:val="28"/>
        </w:rPr>
        <w:t>endim nga gjykata arbitrazhi i cili wshtw titull ekzekutiv</w:t>
      </w:r>
      <w:r w:rsidRPr="00C03A20">
        <w:rPr>
          <w:rFonts w:ascii="Times New Roman" w:eastAsia="Times New Roman" w:hAnsi="Times New Roman"/>
          <w:color w:val="000000"/>
          <w:sz w:val="28"/>
          <w:szCs w:val="28"/>
          <w:lang w:val="sq-AL"/>
        </w:rPr>
        <w:t xml:space="preserve">. </w:t>
      </w:r>
    </w:p>
    <w:p w:rsidR="003D1781" w:rsidRPr="00C03A20" w:rsidRDefault="003D1781" w:rsidP="00C03A20">
      <w:pPr>
        <w:spacing w:after="0"/>
        <w:jc w:val="both"/>
        <w:rPr>
          <w:rFonts w:ascii="Times New Roman" w:eastAsia="Times New Roman" w:hAnsi="Times New Roman"/>
          <w:b/>
          <w:color w:val="000000"/>
          <w:sz w:val="28"/>
          <w:szCs w:val="28"/>
          <w:lang w:val="sq-AL"/>
        </w:rPr>
      </w:pPr>
    </w:p>
    <w:p w:rsidR="003D1781" w:rsidRPr="00C03A20" w:rsidRDefault="003D1781" w:rsidP="00C03A20">
      <w:pPr>
        <w:spacing w:after="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Objektivat specifikë që synohen të arrihen janë:</w:t>
      </w:r>
    </w:p>
    <w:p w:rsidR="003D1781" w:rsidRPr="00C03A20" w:rsidRDefault="003D1781" w:rsidP="00C03A20">
      <w:pPr>
        <w:spacing w:after="0"/>
        <w:jc w:val="both"/>
        <w:rPr>
          <w:rFonts w:ascii="Times New Roman" w:eastAsia="Times New Roman" w:hAnsi="Times New Roman"/>
          <w:color w:val="000000"/>
          <w:sz w:val="28"/>
          <w:szCs w:val="28"/>
          <w:lang w:val="sq-AL"/>
        </w:rPr>
      </w:pPr>
    </w:p>
    <w:p w:rsidR="003D1781" w:rsidRPr="00C03A20" w:rsidRDefault="003D1781" w:rsidP="00C03A20">
      <w:pPr>
        <w:numPr>
          <w:ilvl w:val="0"/>
          <w:numId w:val="10"/>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eastAsia="it-IT"/>
        </w:rPr>
        <w:t>Ulja e shpenzimeve dhe pakësimi i formaliteteve e burokracive, në zgjidhjen e një konflikti.</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Një nga argumentet më të rëndësishëm që influencon në promovimin e  arbitrazhit si një nga format alternative për zgjidhjen e mosmarrëveshjeve lidhet me faktin se vendimet që sigurohen nëpërmjet tij janë vendime më të shpejta dhe kanë një kosto më të ulët në krahasim me proceset gjyqësore. Mos efikasiteti dhe zvarritja që i karakterizon gjykatat shtetërore ka motivuar palët që mosmarrëveshjet e tyre t’ia besojnë për zgjidhje arbitrazhit.</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10"/>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Gill Sans MT" w:hAnsi="Times New Roman"/>
          <w:color w:val="000000"/>
          <w:sz w:val="28"/>
          <w:szCs w:val="28"/>
          <w:lang w:val="sq-AL"/>
        </w:rPr>
        <w:t xml:space="preserve">Ruajtja e të dhënave personale, duke ruajtur konfidencialitetin, neutralitetin dhe mos publikimin e të dhënave personale. </w:t>
      </w:r>
    </w:p>
    <w:p w:rsidR="003D1781" w:rsidRPr="00C03A20" w:rsidRDefault="003D1781" w:rsidP="00C03A20">
      <w:pPr>
        <w:spacing w:after="0"/>
        <w:ind w:left="360"/>
        <w:jc w:val="both"/>
        <w:rPr>
          <w:rFonts w:ascii="Times New Roman" w:eastAsia="Gill Sans MT" w:hAnsi="Times New Roman"/>
          <w:color w:val="FF0000"/>
          <w:sz w:val="28"/>
          <w:szCs w:val="28"/>
          <w:lang w:val="sq-AL"/>
        </w:rPr>
      </w:pPr>
      <w:r w:rsidRPr="00C03A20">
        <w:rPr>
          <w:rFonts w:ascii="Times New Roman" w:eastAsia="Gill Sans MT" w:hAnsi="Times New Roman"/>
          <w:color w:val="000000"/>
          <w:sz w:val="28"/>
          <w:szCs w:val="28"/>
          <w:lang w:val="sq-AL"/>
        </w:rPr>
        <w:t>Natyra private e arbitrazhit çon gjithashtu në konfidencialitetin e procesit. Kjo do të thotë që as palët, arbitrat, dëshmitarët, ekspertët nuk duhet të zbulojnë asgjë rreth arbitrazhit.</w:t>
      </w:r>
      <w:r w:rsidRPr="00C03A20">
        <w:rPr>
          <w:rFonts w:ascii="Times New Roman" w:eastAsia="Gill Sans MT" w:hAnsi="Times New Roman"/>
          <w:color w:val="FF0000"/>
          <w:sz w:val="28"/>
          <w:szCs w:val="28"/>
          <w:lang w:val="sq-AL"/>
        </w:rPr>
        <w:t xml:space="preserve"> </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10"/>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eastAsia="it-IT"/>
        </w:rPr>
        <w:t>Inkurajimi i investimeve ndërkombëtare dhe i tregtisë.</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 xml:space="preserve">Arbitrazhi ndërkombëtar është ndërtuar me qëllimin për t’i siguruar palëve, të cilët u përkasin juridiksioneve të ndryshme, që mosmarrëveshja e tyre do të trajtohet dhe zgjidhet në mënyrë neutrale. Palët që janë pjesëmarrës në një marrëveshje ndërkombëtare të arbitrazhit kërkojnë që arbitri, të mos jetë i lidhur me asnjë prej rendeve juridike kombëtare në konflikt si dhe të mos ketë ndikime prej tyre. Për zgjidhjen e mosmarrëveshjes, ata kërkojnë aplikimin nga arbitrat të rregullave proceduralë ndërkombëtare neutrale. Gjithashtu dhe garantimi i parimit të barazisë së palëve në proces </w:t>
      </w:r>
      <w:r w:rsidRPr="00C03A20">
        <w:rPr>
          <w:rFonts w:ascii="Times New Roman" w:eastAsia="Times New Roman" w:hAnsi="Times New Roman"/>
          <w:color w:val="000000"/>
          <w:sz w:val="28"/>
          <w:szCs w:val="28"/>
          <w:vertAlign w:val="superscript"/>
          <w:lang w:val="sq-AL"/>
        </w:rPr>
        <w:footnoteReference w:id="1"/>
      </w:r>
      <w:r w:rsidRPr="00C03A20">
        <w:rPr>
          <w:rFonts w:ascii="Times New Roman" w:eastAsia="Times New Roman" w:hAnsi="Times New Roman"/>
          <w:color w:val="000000"/>
          <w:sz w:val="28"/>
          <w:szCs w:val="28"/>
          <w:lang w:val="sq-AL"/>
        </w:rPr>
        <w:t xml:space="preserve"> ndikon në rritjen e investimeve të huaja në vend.</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10"/>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eastAsia="it-IT"/>
        </w:rPr>
        <w:lastRenderedPageBreak/>
        <w:t>Mundësia e zgjedhjes së lirë të disa alternativave për të zgjidhur një konflikt.</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Ndërmarrja e nismës për hartimin e projektligjit “Për Arbitrazhin” u jep mundësi palëve që për zgjidhjen e mosmarrëveshjeve që kanë lindur ose që mund të lindin në të ardhmen të mos i drejtohen vetëm gjykatës si mënyra e vetme për zgjidhjen e tyre, por të kenë mundësi për të pa</w:t>
      </w:r>
      <w:r w:rsidR="007E7492" w:rsidRPr="00C03A20">
        <w:rPr>
          <w:rFonts w:ascii="Times New Roman" w:eastAsia="Times New Roman" w:hAnsi="Times New Roman"/>
          <w:color w:val="000000"/>
          <w:sz w:val="28"/>
          <w:szCs w:val="28"/>
          <w:lang w:val="sq-AL"/>
        </w:rPr>
        <w:t>s</w:t>
      </w:r>
      <w:r w:rsidRPr="00C03A20">
        <w:rPr>
          <w:rFonts w:ascii="Times New Roman" w:eastAsia="Times New Roman" w:hAnsi="Times New Roman"/>
          <w:color w:val="000000"/>
          <w:sz w:val="28"/>
          <w:szCs w:val="28"/>
          <w:lang w:val="sq-AL"/>
        </w:rPr>
        <w:t xml:space="preserve">ur dhe metoda të tjera alternative për zgjidhjen e konflikteve. Arsyet se përse palët mund të zgjedhin arbitrazhin janë nga më të ndryshmet. Së pari, arbitrazhi i jep mundësi palëve që të zgjedhin persona me njohuri të specializuara për të gjykuar mosmarrëveshjet e tyre. Së dyti, arbitrat zgjidhen për një mosmarrëveshje të veçantë, dhe me zgjidhjen e saj ata shpërndahen. Së treti, arbitrazhi nuk i nënshtrohet apelimit përsa i përket themelit të konfliktit.  </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p>
    <w:p w:rsidR="003D1781" w:rsidRPr="00C03A20" w:rsidRDefault="003D1781" w:rsidP="00C03A20">
      <w:pPr>
        <w:numPr>
          <w:ilvl w:val="0"/>
          <w:numId w:val="10"/>
        </w:numPr>
        <w:tabs>
          <w:tab w:val="left" w:pos="567"/>
        </w:tabs>
        <w:spacing w:after="120"/>
        <w:jc w:val="both"/>
        <w:rPr>
          <w:rFonts w:ascii="Times New Roman" w:eastAsia="Times New Roman" w:hAnsi="Times New Roman"/>
          <w:color w:val="000000"/>
          <w:sz w:val="28"/>
          <w:szCs w:val="28"/>
          <w:lang w:val="sq-AL"/>
        </w:rPr>
      </w:pPr>
      <w:r w:rsidRPr="00C03A20">
        <w:rPr>
          <w:rFonts w:ascii="Times New Roman" w:eastAsia="Gill Sans MT" w:hAnsi="Times New Roman"/>
          <w:color w:val="000000"/>
          <w:sz w:val="28"/>
          <w:szCs w:val="28"/>
          <w:lang w:val="sq-AL"/>
        </w:rPr>
        <w:t>Kufizimet në kompetencat gjyqësore kur palët kanë zgjedhur arbitrazhin si mekanizëm për zgjidhjen e mosmarrëveshjeve.</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Në rastin kur palët kanë zgjedhur arbitrazhin si mënyrë për zgjidhjen e konflikteve midis tyre, vendimi i dhënë nga arbitrat do të përbëjë një vendim final dhe detyrues. Por në zbatim të nenit 5 të Konventës së Nju Jorkut, pavarësisht se konflikti është zgjidhur përmes marrëveshjes së arbitrazhit, janë gjykatat shtetërore ato të cilat kanë kompetencë të përcaktojë se në arbitrazh është ndjekur procedura e duhur, duke ushtruar autoritetin e tyre për të anuluar një vendim arbitrazhi apo për të refuzuar njohjen dhe zbatimin e vendimeve të arbitrazhit.</w:t>
      </w:r>
    </w:p>
    <w:p w:rsidR="003D1781" w:rsidRPr="00C03A20" w:rsidRDefault="003D1781" w:rsidP="00C03A20">
      <w:pPr>
        <w:spacing w:after="0"/>
        <w:ind w:left="360"/>
        <w:jc w:val="both"/>
        <w:rPr>
          <w:rFonts w:ascii="Times New Roman" w:eastAsia="Times New Roman" w:hAnsi="Times New Roman"/>
          <w:color w:val="FF0000"/>
          <w:sz w:val="28"/>
          <w:szCs w:val="28"/>
          <w:lang w:val="sq-AL"/>
        </w:rPr>
      </w:pPr>
    </w:p>
    <w:p w:rsidR="003D1781" w:rsidRPr="00C03A20" w:rsidRDefault="003D1781" w:rsidP="00C03A20">
      <w:pPr>
        <w:numPr>
          <w:ilvl w:val="0"/>
          <w:numId w:val="10"/>
        </w:numPr>
        <w:tabs>
          <w:tab w:val="left" w:pos="567"/>
        </w:tabs>
        <w:jc w:val="both"/>
        <w:rPr>
          <w:rFonts w:ascii="Times New Roman" w:eastAsia="Times New Roman" w:hAnsi="Times New Roman"/>
          <w:color w:val="000000"/>
          <w:sz w:val="28"/>
          <w:szCs w:val="28"/>
          <w:lang w:val="sq-AL"/>
        </w:rPr>
      </w:pPr>
      <w:r w:rsidRPr="00C03A20">
        <w:rPr>
          <w:rFonts w:ascii="Times New Roman" w:eastAsia="Gill Sans MT" w:hAnsi="Times New Roman"/>
          <w:color w:val="000000"/>
          <w:sz w:val="28"/>
          <w:szCs w:val="28"/>
          <w:lang w:val="sq-AL"/>
        </w:rPr>
        <w:t xml:space="preserve">Rregullimi ligjor i arbitrazhit ndërkombëtar. </w:t>
      </w:r>
    </w:p>
    <w:p w:rsidR="003D1781" w:rsidRPr="00C03A20" w:rsidRDefault="003D1781" w:rsidP="00C03A20">
      <w:pPr>
        <w:spacing w:after="0"/>
        <w:ind w:left="360"/>
        <w:jc w:val="both"/>
        <w:rPr>
          <w:rFonts w:ascii="Times New Roman" w:eastAsia="Times New Roman" w:hAnsi="Times New Roman"/>
          <w:color w:val="000000"/>
          <w:sz w:val="28"/>
          <w:szCs w:val="28"/>
          <w:lang w:val="sq-AL"/>
        </w:rPr>
      </w:pPr>
      <w:r w:rsidRPr="00C03A20">
        <w:rPr>
          <w:rFonts w:ascii="Times New Roman" w:eastAsia="Gill Sans MT" w:hAnsi="Times New Roman"/>
          <w:color w:val="000000"/>
          <w:sz w:val="28"/>
          <w:szCs w:val="28"/>
          <w:lang w:val="sq-AL"/>
        </w:rPr>
        <w:t>Vendimet e arbitrazhit janë të zbatueshme njëlloj si vendimet e gjykatës. Konventa e Nju Jorku-ut garanton njohjen dhe zbatimin forcërisht të vendimit, nëpërmjet një autorizimi të dhënë  nga një gjykatë e shtetit, ku pala humbëse ka selinë. Kjo e bën arbitrazhin tregtar ndërkombëtar të favorshëm ndaj komunitetit ndërkombëtar të biznesit</w:t>
      </w:r>
      <w:r w:rsidRPr="00C03A20">
        <w:rPr>
          <w:rFonts w:ascii="Times New Roman" w:eastAsia="Gill Sans MT" w:hAnsi="Times New Roman"/>
          <w:color w:val="000000"/>
          <w:sz w:val="28"/>
          <w:szCs w:val="28"/>
          <w:vertAlign w:val="superscript"/>
          <w:lang w:val="sq-AL"/>
        </w:rPr>
        <w:footnoteReference w:id="2"/>
      </w:r>
      <w:r w:rsidRPr="00C03A20">
        <w:rPr>
          <w:rFonts w:ascii="Times New Roman" w:eastAsia="Gill Sans MT" w:hAnsi="Times New Roman"/>
          <w:color w:val="000000"/>
          <w:sz w:val="28"/>
          <w:szCs w:val="28"/>
          <w:lang w:val="sq-AL"/>
        </w:rPr>
        <w:t xml:space="preserve">.  </w:t>
      </w:r>
    </w:p>
    <w:p w:rsidR="008209E7" w:rsidRPr="00C03A20" w:rsidRDefault="008209E7" w:rsidP="00C03A20">
      <w:pPr>
        <w:pStyle w:val="ListParagraph"/>
        <w:spacing w:after="0"/>
        <w:ind w:left="0"/>
        <w:jc w:val="both"/>
        <w:rPr>
          <w:rFonts w:ascii="Times New Roman" w:hAnsi="Times New Roman"/>
          <w:color w:val="000000"/>
          <w:sz w:val="28"/>
          <w:szCs w:val="28"/>
          <w:lang w:val="sq-AL"/>
        </w:rPr>
      </w:pPr>
    </w:p>
    <w:p w:rsidR="00734A22" w:rsidRPr="00C03A20" w:rsidRDefault="008209E7" w:rsidP="00C03A20">
      <w:pPr>
        <w:pStyle w:val="ListParagraph"/>
        <w:spacing w:after="0"/>
        <w:ind w:hanging="720"/>
        <w:jc w:val="both"/>
        <w:rPr>
          <w:rFonts w:ascii="Times New Roman" w:hAnsi="Times New Roman"/>
          <w:b/>
          <w:sz w:val="28"/>
          <w:szCs w:val="28"/>
          <w:lang w:val="sq-AL"/>
        </w:rPr>
      </w:pPr>
      <w:r w:rsidRPr="00C03A20">
        <w:rPr>
          <w:rFonts w:ascii="Times New Roman" w:hAnsi="Times New Roman"/>
          <w:b/>
          <w:bCs/>
          <w:color w:val="000000"/>
          <w:sz w:val="28"/>
          <w:szCs w:val="28"/>
          <w:lang w:val="sq-AL"/>
        </w:rPr>
        <w:lastRenderedPageBreak/>
        <w:t>II</w:t>
      </w:r>
      <w:r w:rsidRPr="00C03A20">
        <w:rPr>
          <w:rFonts w:ascii="Times New Roman" w:hAnsi="Times New Roman"/>
          <w:color w:val="000000"/>
          <w:sz w:val="28"/>
          <w:szCs w:val="28"/>
          <w:lang w:val="sq-AL"/>
        </w:rPr>
        <w:t xml:space="preserve">. </w:t>
      </w:r>
      <w:r w:rsidRPr="00C03A20">
        <w:rPr>
          <w:rFonts w:ascii="Times New Roman" w:hAnsi="Times New Roman"/>
          <w:color w:val="000000"/>
          <w:sz w:val="28"/>
          <w:szCs w:val="28"/>
          <w:lang w:val="sq-AL"/>
        </w:rPr>
        <w:tab/>
      </w:r>
      <w:r w:rsidR="00734A22" w:rsidRPr="00C03A20">
        <w:rPr>
          <w:rFonts w:ascii="Times New Roman" w:hAnsi="Times New Roman"/>
          <w:b/>
          <w:sz w:val="28"/>
          <w:szCs w:val="28"/>
          <w:lang w:val="sq-AL"/>
        </w:rPr>
        <w:t>VLERËSIM I PROJEKTLIGJIT NË RAPORT ME PROGRAMIN POLITIK TË KËSHILLIT TË MINISTRAVE, ME PROGRAMIN ANALITIK TË AKTEVE DHE DOKUMENTAVE TË TJERA.</w:t>
      </w:r>
    </w:p>
    <w:p w:rsidR="00734A22" w:rsidRPr="00C03A20" w:rsidRDefault="00734A22" w:rsidP="00C03A20">
      <w:pPr>
        <w:pStyle w:val="ListParagraph"/>
        <w:spacing w:after="0"/>
        <w:ind w:hanging="720"/>
        <w:jc w:val="both"/>
        <w:rPr>
          <w:rFonts w:ascii="Times New Roman" w:hAnsi="Times New Roman"/>
          <w:b/>
          <w:sz w:val="28"/>
          <w:szCs w:val="28"/>
          <w:lang w:val="sq-AL"/>
        </w:rPr>
      </w:pPr>
    </w:p>
    <w:p w:rsidR="00DB4F0D" w:rsidRPr="00C03A20" w:rsidRDefault="00DB4F0D" w:rsidP="00C03A20">
      <w:pPr>
        <w:tabs>
          <w:tab w:val="left" w:pos="360"/>
        </w:tabs>
        <w:spacing w:after="0"/>
        <w:jc w:val="both"/>
        <w:rPr>
          <w:rFonts w:ascii="Times New Roman" w:eastAsia="Times New Roman" w:hAnsi="Times New Roman"/>
          <w:color w:val="000000"/>
          <w:sz w:val="28"/>
          <w:szCs w:val="28"/>
          <w:lang w:val="sq-AL"/>
        </w:rPr>
      </w:pPr>
      <w:r w:rsidRPr="00C03A20">
        <w:rPr>
          <w:rFonts w:ascii="Times New Roman" w:eastAsia="Times New Roman" w:hAnsi="Times New Roman"/>
          <w:color w:val="000000"/>
          <w:sz w:val="28"/>
          <w:szCs w:val="28"/>
          <w:lang w:val="sq-AL"/>
        </w:rPr>
        <w:t xml:space="preserve">Propozimi i kësaj nisme vjen si nevojë e përmbushjes së detyrimeve që vijnë nga një sërë aktesh ndërkombëtare si </w:t>
      </w:r>
      <w:r w:rsidRPr="00C03A20">
        <w:rPr>
          <w:rFonts w:ascii="Times New Roman" w:eastAsia="Times New Roman" w:hAnsi="Times New Roman"/>
          <w:bCs/>
          <w:color w:val="000000"/>
          <w:sz w:val="28"/>
          <w:szCs w:val="28"/>
          <w:lang w:val="sq-AL"/>
        </w:rPr>
        <w:t>Konventa për Njohjen dhe Ekzekutimin e Vendimeve të Huaja të Arbitrazhit dhe Konventa Evropiane e Arbitrazhit.</w:t>
      </w:r>
      <w:r w:rsidRPr="00C03A20">
        <w:rPr>
          <w:rFonts w:ascii="Times New Roman" w:eastAsia="Times New Roman" w:hAnsi="Times New Roman"/>
          <w:color w:val="000000"/>
          <w:sz w:val="28"/>
          <w:szCs w:val="28"/>
          <w:lang w:val="sq-AL"/>
        </w:rPr>
        <w:t xml:space="preserve"> </w:t>
      </w:r>
      <w:r w:rsidRPr="00C03A20">
        <w:rPr>
          <w:rFonts w:ascii="Times New Roman" w:eastAsia="Times New Roman" w:hAnsi="Times New Roman"/>
          <w:bCs/>
          <w:color w:val="000000"/>
          <w:sz w:val="28"/>
          <w:szCs w:val="28"/>
          <w:lang w:val="sq-AL"/>
        </w:rPr>
        <w:t xml:space="preserve">Nisma hartohet në zbatim të Strategjisë Ndërsektoriale të Drejtësisë, miratuar me Vendimin Nr. 773, datë 2.11.2016 “Për miratimin e Strategjisë Ndërsektoriale të Drejtësisë 2017–2020 dhe të Planit të saj të Veprimit”. </w:t>
      </w:r>
    </w:p>
    <w:p w:rsidR="00DB4F0D" w:rsidRPr="00C03A20" w:rsidRDefault="00DB4F0D" w:rsidP="00C03A20">
      <w:pPr>
        <w:tabs>
          <w:tab w:val="left" w:pos="360"/>
        </w:tabs>
        <w:spacing w:after="0"/>
        <w:jc w:val="both"/>
        <w:rPr>
          <w:rFonts w:ascii="Times New Roman" w:eastAsia="Times New Roman" w:hAnsi="Times New Roman"/>
          <w:sz w:val="28"/>
          <w:szCs w:val="28"/>
          <w:lang w:val="sq-AL"/>
        </w:rPr>
      </w:pPr>
    </w:p>
    <w:p w:rsidR="00DB4F0D" w:rsidRPr="00C03A20" w:rsidRDefault="00DB4F0D" w:rsidP="00C03A20">
      <w:pPr>
        <w:spacing w:after="160"/>
        <w:jc w:val="both"/>
        <w:rPr>
          <w:rFonts w:ascii="Times New Roman" w:eastAsia="Times New Roman" w:hAnsi="Times New Roman"/>
          <w:sz w:val="28"/>
          <w:szCs w:val="28"/>
          <w:lang w:val="sq-AL"/>
        </w:rPr>
      </w:pPr>
      <w:r w:rsidRPr="00C03A20">
        <w:rPr>
          <w:rFonts w:ascii="Times New Roman" w:eastAsia="Times New Roman" w:hAnsi="Times New Roman"/>
          <w:sz w:val="28"/>
          <w:szCs w:val="28"/>
          <w:lang w:val="sq-AL"/>
        </w:rPr>
        <w:t>Pikërisht pas analizës së këtyre dokumenteve kyçe politike, Ministria e Drejtësisë ka përfshirë në Programin Legjislativ për vitin 2019, miratuar me vendimin nr. 764, datë 27.12.2018, të Këshillit të Ministrave “Për miratimin e programit të përgjithshëm analitik të projektakteve, që do të paraqiten për shqyrtim në Këshillin e Ministrave gjatë vitit 2019”, hartimin dhe miratimin e projektligjit “Për arbitrazhin”.</w:t>
      </w:r>
    </w:p>
    <w:p w:rsidR="00F2030C" w:rsidRPr="00C03A20" w:rsidRDefault="00F2030C" w:rsidP="00C03A20">
      <w:pPr>
        <w:spacing w:after="0"/>
        <w:ind w:left="720" w:hanging="720"/>
        <w:jc w:val="both"/>
        <w:rPr>
          <w:rFonts w:ascii="Times New Roman" w:hAnsi="Times New Roman"/>
          <w:b/>
          <w:sz w:val="28"/>
          <w:szCs w:val="28"/>
          <w:lang w:val="sq-AL"/>
        </w:rPr>
      </w:pPr>
    </w:p>
    <w:p w:rsidR="00734A22" w:rsidRPr="00C03A20" w:rsidRDefault="008209E7" w:rsidP="00C03A20">
      <w:pPr>
        <w:pStyle w:val="ListParagraph"/>
        <w:spacing w:after="0"/>
        <w:ind w:hanging="720"/>
        <w:jc w:val="both"/>
        <w:rPr>
          <w:rFonts w:ascii="Times New Roman" w:hAnsi="Times New Roman"/>
          <w:b/>
          <w:sz w:val="28"/>
          <w:szCs w:val="28"/>
          <w:lang w:val="sq-AL"/>
        </w:rPr>
      </w:pPr>
      <w:r w:rsidRPr="00C03A20">
        <w:rPr>
          <w:rFonts w:ascii="Times New Roman" w:hAnsi="Times New Roman"/>
          <w:b/>
          <w:sz w:val="28"/>
          <w:szCs w:val="28"/>
          <w:lang w:val="sq-AL"/>
        </w:rPr>
        <w:t xml:space="preserve">III. </w:t>
      </w:r>
      <w:r w:rsidR="004C5EC6" w:rsidRPr="00C03A20">
        <w:rPr>
          <w:rFonts w:ascii="Times New Roman" w:hAnsi="Times New Roman"/>
          <w:b/>
          <w:sz w:val="28"/>
          <w:szCs w:val="28"/>
          <w:lang w:val="sq-AL"/>
        </w:rPr>
        <w:tab/>
      </w:r>
      <w:r w:rsidR="00734A22" w:rsidRPr="00C03A20">
        <w:rPr>
          <w:rFonts w:ascii="Times New Roman" w:hAnsi="Times New Roman"/>
          <w:b/>
          <w:sz w:val="28"/>
          <w:szCs w:val="28"/>
          <w:lang w:val="sq-AL"/>
        </w:rPr>
        <w:t xml:space="preserve">ARGUMENTIMI I PROJEKTLIGJIT LIDHUR ME PËRPARËSITË, PROBLEMATIKAT, EFEKTET E PRITSHME. </w:t>
      </w:r>
    </w:p>
    <w:p w:rsidR="00D41784" w:rsidRPr="00C03A20" w:rsidRDefault="00D41784" w:rsidP="00C03A20">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p>
    <w:p w:rsidR="00D41784" w:rsidRPr="00C03A20" w:rsidRDefault="00D41784" w:rsidP="00C03A20">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r w:rsidRPr="00C03A20">
        <w:rPr>
          <w:rFonts w:ascii="Times New Roman" w:eastAsia="MS Mincho" w:hAnsi="Times New Roman"/>
          <w:sz w:val="28"/>
          <w:szCs w:val="28"/>
          <w:lang w:val="sq-AL" w:eastAsia="el-GR"/>
        </w:rPr>
        <w:t xml:space="preserve">Projektligji rregullon arbitrazhin </w:t>
      </w:r>
      <w:r w:rsidR="00674AF1" w:rsidRPr="00C03A20">
        <w:rPr>
          <w:rFonts w:ascii="Times New Roman" w:eastAsia="MS Mincho" w:hAnsi="Times New Roman"/>
          <w:sz w:val="28"/>
          <w:szCs w:val="28"/>
          <w:lang w:val="sq-AL" w:eastAsia="el-GR"/>
        </w:rPr>
        <w:t xml:space="preserve">vendas dhe </w:t>
      </w:r>
      <w:r w:rsidRPr="00C03A20">
        <w:rPr>
          <w:rFonts w:ascii="Times New Roman" w:eastAsia="MS Mincho" w:hAnsi="Times New Roman"/>
          <w:sz w:val="28"/>
          <w:szCs w:val="28"/>
          <w:lang w:val="sq-AL" w:eastAsia="el-GR"/>
        </w:rPr>
        <w:t>ndërkombëtar, bazuar</w:t>
      </w:r>
      <w:r w:rsidR="00674AF1" w:rsidRPr="00C03A20">
        <w:rPr>
          <w:rFonts w:ascii="Times New Roman" w:eastAsia="MS Mincho" w:hAnsi="Times New Roman"/>
          <w:sz w:val="28"/>
          <w:szCs w:val="28"/>
          <w:lang w:val="sq-AL" w:eastAsia="el-GR"/>
        </w:rPr>
        <w:t xml:space="preserve"> kryesisht </w:t>
      </w:r>
      <w:r w:rsidRPr="00C03A20">
        <w:rPr>
          <w:rFonts w:ascii="Times New Roman" w:eastAsia="MS Mincho" w:hAnsi="Times New Roman"/>
          <w:sz w:val="28"/>
          <w:szCs w:val="28"/>
          <w:lang w:val="sq-AL" w:eastAsia="el-GR"/>
        </w:rPr>
        <w:t xml:space="preserve"> në modelin e ligjit për arbitrazhin ndërkombëtar të UNCITRAL (Komisioni i Kombeve të Bashkuara për të Drejtën Ndërkombëtare Tregtare).</w:t>
      </w:r>
    </w:p>
    <w:p w:rsidR="00734A22" w:rsidRPr="00C03A20" w:rsidRDefault="00734A22" w:rsidP="00C03A20">
      <w:pPr>
        <w:spacing w:after="0"/>
        <w:ind w:left="720" w:hanging="720"/>
        <w:jc w:val="both"/>
        <w:rPr>
          <w:rFonts w:ascii="Times New Roman" w:hAnsi="Times New Roman"/>
          <w:sz w:val="28"/>
          <w:szCs w:val="28"/>
          <w:lang w:val="sq-AL"/>
        </w:rPr>
      </w:pPr>
    </w:p>
    <w:p w:rsidR="00797FDE" w:rsidRPr="00C03A20" w:rsidRDefault="002B4BB0" w:rsidP="00C03A20">
      <w:pPr>
        <w:spacing w:after="0"/>
        <w:jc w:val="both"/>
        <w:rPr>
          <w:rFonts w:ascii="Times New Roman" w:hAnsi="Times New Roman"/>
          <w:bCs/>
          <w:iCs/>
          <w:sz w:val="28"/>
          <w:szCs w:val="28"/>
          <w:lang w:val="sq-AL" w:bidi="en-US"/>
        </w:rPr>
      </w:pPr>
      <w:r w:rsidRPr="00C03A20">
        <w:rPr>
          <w:rFonts w:ascii="Times New Roman" w:hAnsi="Times New Roman"/>
          <w:color w:val="000000" w:themeColor="text1"/>
          <w:sz w:val="28"/>
          <w:szCs w:val="28"/>
          <w:lang w:val="sq-AL"/>
        </w:rPr>
        <w:t xml:space="preserve">Miratimi i këtij </w:t>
      </w:r>
      <w:r w:rsidR="00457DF0" w:rsidRPr="00C03A20">
        <w:rPr>
          <w:rFonts w:ascii="Times New Roman" w:hAnsi="Times New Roman"/>
          <w:color w:val="000000" w:themeColor="text1"/>
          <w:sz w:val="28"/>
          <w:szCs w:val="28"/>
          <w:lang w:val="sq-AL"/>
        </w:rPr>
        <w:t>projekt</w:t>
      </w:r>
      <w:r w:rsidRPr="00C03A20">
        <w:rPr>
          <w:rFonts w:ascii="Times New Roman" w:hAnsi="Times New Roman"/>
          <w:color w:val="000000" w:themeColor="text1"/>
          <w:sz w:val="28"/>
          <w:szCs w:val="28"/>
          <w:lang w:val="sq-AL"/>
        </w:rPr>
        <w:t>ligji do të sillte impakt pozitiv për të gjitha grupet e interesit</w:t>
      </w:r>
      <w:r w:rsidR="00457DF0" w:rsidRPr="00C03A20">
        <w:rPr>
          <w:rFonts w:ascii="Times New Roman" w:hAnsi="Times New Roman"/>
          <w:color w:val="000000" w:themeColor="text1"/>
          <w:sz w:val="28"/>
          <w:szCs w:val="28"/>
          <w:lang w:val="sq-AL"/>
        </w:rPr>
        <w:t>, ku vlen t</w:t>
      </w:r>
      <w:r w:rsidR="000D610D" w:rsidRPr="00C03A20">
        <w:rPr>
          <w:rFonts w:ascii="Times New Roman" w:hAnsi="Times New Roman"/>
          <w:color w:val="000000" w:themeColor="text1"/>
          <w:sz w:val="28"/>
          <w:szCs w:val="28"/>
          <w:lang w:val="sq-AL"/>
        </w:rPr>
        <w:t>ë</w:t>
      </w:r>
      <w:r w:rsidR="00457DF0" w:rsidRPr="00C03A20">
        <w:rPr>
          <w:rFonts w:ascii="Times New Roman" w:hAnsi="Times New Roman"/>
          <w:color w:val="000000" w:themeColor="text1"/>
          <w:sz w:val="28"/>
          <w:szCs w:val="28"/>
          <w:lang w:val="sq-AL"/>
        </w:rPr>
        <w:t xml:space="preserve"> veçohet </w:t>
      </w:r>
      <w:r w:rsidR="00797FDE" w:rsidRPr="00C03A20">
        <w:rPr>
          <w:rFonts w:ascii="Times New Roman" w:hAnsi="Times New Roman"/>
          <w:color w:val="000000" w:themeColor="text1"/>
          <w:sz w:val="28"/>
          <w:szCs w:val="28"/>
          <w:lang w:val="sq-AL"/>
        </w:rPr>
        <w:t>komuniteti i investitor</w:t>
      </w:r>
      <w:r w:rsidR="009B66FB" w:rsidRPr="00C03A20">
        <w:rPr>
          <w:rFonts w:ascii="Times New Roman" w:hAnsi="Times New Roman"/>
          <w:color w:val="000000" w:themeColor="text1"/>
          <w:sz w:val="28"/>
          <w:szCs w:val="28"/>
          <w:lang w:val="sq-AL"/>
        </w:rPr>
        <w:t>ë</w:t>
      </w:r>
      <w:r w:rsidR="00797FDE" w:rsidRPr="00C03A20">
        <w:rPr>
          <w:rFonts w:ascii="Times New Roman" w:hAnsi="Times New Roman"/>
          <w:color w:val="000000" w:themeColor="text1"/>
          <w:sz w:val="28"/>
          <w:szCs w:val="28"/>
          <w:lang w:val="sq-AL"/>
        </w:rPr>
        <w:t xml:space="preserve">ve dhe </w:t>
      </w:r>
      <w:r w:rsidR="00C207E5" w:rsidRPr="00C03A20">
        <w:rPr>
          <w:rFonts w:ascii="Times New Roman" w:hAnsi="Times New Roman"/>
          <w:color w:val="000000" w:themeColor="text1"/>
          <w:sz w:val="28"/>
          <w:szCs w:val="28"/>
          <w:lang w:val="sq-AL"/>
        </w:rPr>
        <w:t>bizneseve</w:t>
      </w:r>
      <w:r w:rsidR="00797FDE" w:rsidRPr="00C03A20">
        <w:rPr>
          <w:rFonts w:ascii="Times New Roman" w:hAnsi="Times New Roman"/>
          <w:color w:val="000000" w:themeColor="text1"/>
          <w:sz w:val="28"/>
          <w:szCs w:val="28"/>
          <w:lang w:val="sq-AL"/>
        </w:rPr>
        <w:t xml:space="preserve"> të huaja në vend</w:t>
      </w:r>
      <w:r w:rsidR="00BF362B" w:rsidRPr="00C03A20">
        <w:rPr>
          <w:rFonts w:ascii="Times New Roman" w:hAnsi="Times New Roman"/>
          <w:color w:val="000000" w:themeColor="text1"/>
          <w:sz w:val="28"/>
          <w:szCs w:val="28"/>
          <w:lang w:val="sq-AL"/>
        </w:rPr>
        <w:t xml:space="preserve">, </w:t>
      </w:r>
      <w:r w:rsidR="00541C3F" w:rsidRPr="00C03A20">
        <w:rPr>
          <w:rFonts w:ascii="Times New Roman" w:hAnsi="Times New Roman"/>
          <w:color w:val="000000" w:themeColor="text1"/>
          <w:sz w:val="28"/>
          <w:szCs w:val="28"/>
          <w:lang w:val="sq-AL"/>
        </w:rPr>
        <w:t>zhvillimi i m</w:t>
      </w:r>
      <w:r w:rsidR="009B66FB" w:rsidRPr="00C03A20">
        <w:rPr>
          <w:rFonts w:ascii="Times New Roman" w:hAnsi="Times New Roman"/>
          <w:color w:val="000000" w:themeColor="text1"/>
          <w:sz w:val="28"/>
          <w:szCs w:val="28"/>
          <w:lang w:val="sq-AL"/>
        </w:rPr>
        <w:t>ë</w:t>
      </w:r>
      <w:r w:rsidR="00541C3F" w:rsidRPr="00C03A20">
        <w:rPr>
          <w:rFonts w:ascii="Times New Roman" w:hAnsi="Times New Roman"/>
          <w:color w:val="000000" w:themeColor="text1"/>
          <w:sz w:val="28"/>
          <w:szCs w:val="28"/>
          <w:lang w:val="sq-AL"/>
        </w:rPr>
        <w:t>tejsh</w:t>
      </w:r>
      <w:r w:rsidR="009B66FB" w:rsidRPr="00C03A20">
        <w:rPr>
          <w:rFonts w:ascii="Times New Roman" w:hAnsi="Times New Roman"/>
          <w:color w:val="000000" w:themeColor="text1"/>
          <w:sz w:val="28"/>
          <w:szCs w:val="28"/>
          <w:lang w:val="sq-AL"/>
        </w:rPr>
        <w:t>ë</w:t>
      </w:r>
      <w:r w:rsidR="00541C3F" w:rsidRPr="00C03A20">
        <w:rPr>
          <w:rFonts w:ascii="Times New Roman" w:hAnsi="Times New Roman"/>
          <w:color w:val="000000" w:themeColor="text1"/>
          <w:sz w:val="28"/>
          <w:szCs w:val="28"/>
          <w:lang w:val="sq-AL"/>
        </w:rPr>
        <w:t>m i t</w:t>
      </w:r>
      <w:r w:rsidR="009B66FB" w:rsidRPr="00C03A20">
        <w:rPr>
          <w:rFonts w:ascii="Times New Roman" w:hAnsi="Times New Roman"/>
          <w:color w:val="000000" w:themeColor="text1"/>
          <w:sz w:val="28"/>
          <w:szCs w:val="28"/>
          <w:lang w:val="sq-AL"/>
        </w:rPr>
        <w:t>ë</w:t>
      </w:r>
      <w:r w:rsidR="00541C3F" w:rsidRPr="00C03A20">
        <w:rPr>
          <w:rFonts w:ascii="Times New Roman" w:hAnsi="Times New Roman"/>
          <w:color w:val="000000" w:themeColor="text1"/>
          <w:sz w:val="28"/>
          <w:szCs w:val="28"/>
          <w:lang w:val="sq-AL"/>
        </w:rPr>
        <w:t xml:space="preserve"> </w:t>
      </w:r>
      <w:r w:rsidR="00797FDE" w:rsidRPr="00C03A20">
        <w:rPr>
          <w:rFonts w:ascii="Times New Roman" w:hAnsi="Times New Roman"/>
          <w:color w:val="000000" w:themeColor="text1"/>
          <w:sz w:val="28"/>
          <w:szCs w:val="28"/>
          <w:lang w:val="sq-AL"/>
        </w:rPr>
        <w:t>cil</w:t>
      </w:r>
      <w:r w:rsidR="009B66FB" w:rsidRPr="00C03A20">
        <w:rPr>
          <w:rFonts w:ascii="Times New Roman" w:hAnsi="Times New Roman"/>
          <w:color w:val="000000" w:themeColor="text1"/>
          <w:sz w:val="28"/>
          <w:szCs w:val="28"/>
          <w:lang w:val="sq-AL"/>
        </w:rPr>
        <w:t>ë</w:t>
      </w:r>
      <w:r w:rsidR="00541C3F" w:rsidRPr="00C03A20">
        <w:rPr>
          <w:rFonts w:ascii="Times New Roman" w:hAnsi="Times New Roman"/>
          <w:color w:val="000000" w:themeColor="text1"/>
          <w:sz w:val="28"/>
          <w:szCs w:val="28"/>
          <w:lang w:val="sq-AL"/>
        </w:rPr>
        <w:t>ve</w:t>
      </w:r>
      <w:r w:rsidR="00797FDE" w:rsidRPr="00C03A20">
        <w:rPr>
          <w:rFonts w:ascii="Times New Roman" w:hAnsi="Times New Roman"/>
          <w:color w:val="000000" w:themeColor="text1"/>
          <w:sz w:val="28"/>
          <w:szCs w:val="28"/>
          <w:lang w:val="sq-AL"/>
        </w:rPr>
        <w:t xml:space="preserve"> do të pasjellë </w:t>
      </w:r>
      <w:r w:rsidR="00797FDE" w:rsidRPr="00C03A20">
        <w:rPr>
          <w:rFonts w:ascii="Times New Roman" w:hAnsi="Times New Roman"/>
          <w:bCs/>
          <w:iCs/>
          <w:sz w:val="28"/>
          <w:szCs w:val="28"/>
          <w:lang w:val="sq-AL" w:bidi="en-US"/>
        </w:rPr>
        <w:t>më shumë të hyra në buxhetin e shtetit</w:t>
      </w:r>
      <w:r w:rsidR="00797FDE" w:rsidRPr="00C03A20">
        <w:rPr>
          <w:rFonts w:ascii="Times New Roman" w:hAnsi="Times New Roman"/>
          <w:color w:val="000000" w:themeColor="text1"/>
          <w:sz w:val="28"/>
          <w:szCs w:val="28"/>
          <w:lang w:val="sq-AL"/>
        </w:rPr>
        <w:t xml:space="preserve"> dhe ndikime pozitive në ekonominë e vendit </w:t>
      </w:r>
      <w:r w:rsidR="00541C3F" w:rsidRPr="00C03A20">
        <w:rPr>
          <w:rFonts w:ascii="Times New Roman" w:hAnsi="Times New Roman"/>
          <w:color w:val="000000" w:themeColor="text1"/>
          <w:sz w:val="28"/>
          <w:szCs w:val="28"/>
          <w:lang w:val="sq-AL"/>
        </w:rPr>
        <w:t xml:space="preserve">e </w:t>
      </w:r>
      <w:r w:rsidR="00797FDE" w:rsidRPr="00C03A20">
        <w:rPr>
          <w:rFonts w:ascii="Times New Roman" w:hAnsi="Times New Roman"/>
          <w:bCs/>
          <w:iCs/>
          <w:sz w:val="28"/>
          <w:szCs w:val="28"/>
          <w:lang w:val="sq-AL" w:bidi="en-US"/>
        </w:rPr>
        <w:t>i mundësojnë qeverisë të kryejë më shumë investime publike.</w:t>
      </w:r>
    </w:p>
    <w:p w:rsidR="001314B9" w:rsidRPr="00C03A20" w:rsidRDefault="001314B9" w:rsidP="00C03A20">
      <w:pPr>
        <w:spacing w:after="0"/>
        <w:jc w:val="both"/>
        <w:rPr>
          <w:rFonts w:ascii="Times New Roman" w:hAnsi="Times New Roman"/>
          <w:color w:val="000000" w:themeColor="text1"/>
          <w:sz w:val="28"/>
          <w:szCs w:val="28"/>
          <w:lang w:val="sq-AL"/>
        </w:rPr>
      </w:pPr>
    </w:p>
    <w:p w:rsidR="002B4BB0" w:rsidRPr="00C03A20" w:rsidRDefault="002B4BB0" w:rsidP="00C03A20">
      <w:pPr>
        <w:spacing w:after="0"/>
        <w:jc w:val="both"/>
        <w:rPr>
          <w:rFonts w:ascii="Times New Roman" w:hAnsi="Times New Roman"/>
          <w:color w:val="000000" w:themeColor="text1"/>
          <w:sz w:val="28"/>
          <w:szCs w:val="28"/>
          <w:lang w:val="sq-AL"/>
        </w:rPr>
      </w:pPr>
      <w:r w:rsidRPr="00C03A20">
        <w:rPr>
          <w:rFonts w:ascii="Times New Roman" w:hAnsi="Times New Roman"/>
          <w:color w:val="000000" w:themeColor="text1"/>
          <w:sz w:val="28"/>
          <w:szCs w:val="28"/>
          <w:lang w:val="sq-AL"/>
        </w:rPr>
        <w:t>Përfitimet e drejtpërdrejta që kanë grupet e interesi i parashtrojmë si më poshtë:</w:t>
      </w:r>
    </w:p>
    <w:p w:rsidR="002B4BB0" w:rsidRPr="00C03A20" w:rsidRDefault="002B4BB0" w:rsidP="00C03A20">
      <w:pPr>
        <w:pStyle w:val="ListParagraph"/>
        <w:numPr>
          <w:ilvl w:val="0"/>
          <w:numId w:val="15"/>
        </w:numPr>
        <w:spacing w:after="0"/>
        <w:ind w:left="360"/>
        <w:jc w:val="both"/>
        <w:rPr>
          <w:sz w:val="28"/>
          <w:szCs w:val="28"/>
          <w:lang w:val="sq-AL"/>
        </w:rPr>
      </w:pPr>
      <w:r w:rsidRPr="00C03A20">
        <w:rPr>
          <w:rFonts w:ascii="Times New Roman" w:hAnsi="Times New Roman"/>
          <w:color w:val="000000" w:themeColor="text1"/>
          <w:sz w:val="28"/>
          <w:szCs w:val="28"/>
          <w:lang w:val="sq-AL"/>
        </w:rPr>
        <w:t xml:space="preserve">Neutraliteti i </w:t>
      </w:r>
      <w:r w:rsidR="000D610D" w:rsidRPr="00C03A20">
        <w:rPr>
          <w:rFonts w:ascii="Times New Roman" w:hAnsi="Times New Roman"/>
          <w:color w:val="000000" w:themeColor="text1"/>
          <w:sz w:val="28"/>
          <w:szCs w:val="28"/>
          <w:lang w:val="sq-AL"/>
        </w:rPr>
        <w:t>arbitrazhit</w:t>
      </w:r>
      <w:r w:rsidRPr="00C03A20">
        <w:rPr>
          <w:rFonts w:ascii="Times New Roman" w:hAnsi="Times New Roman"/>
          <w:color w:val="000000" w:themeColor="text1"/>
          <w:sz w:val="28"/>
          <w:szCs w:val="28"/>
          <w:lang w:val="sq-AL"/>
        </w:rPr>
        <w:t xml:space="preserve"> </w:t>
      </w:r>
      <w:r w:rsidR="000D610D" w:rsidRPr="00C03A20">
        <w:rPr>
          <w:rFonts w:ascii="Times New Roman" w:hAnsi="Times New Roman"/>
          <w:color w:val="000000" w:themeColor="text1"/>
          <w:sz w:val="28"/>
          <w:szCs w:val="28"/>
          <w:lang w:val="sq-AL"/>
        </w:rPr>
        <w:t>ndërkombëtar</w:t>
      </w:r>
      <w:r w:rsidRPr="00C03A20">
        <w:rPr>
          <w:rFonts w:ascii="Times New Roman" w:hAnsi="Times New Roman"/>
          <w:color w:val="000000" w:themeColor="text1"/>
          <w:sz w:val="28"/>
          <w:szCs w:val="28"/>
          <w:lang w:val="sq-AL"/>
        </w:rPr>
        <w:t>, q</w:t>
      </w:r>
      <w:r w:rsidR="009B66FB" w:rsidRPr="00C03A20">
        <w:rPr>
          <w:rFonts w:ascii="Times New Roman" w:hAnsi="Times New Roman"/>
          <w:color w:val="000000" w:themeColor="text1"/>
          <w:sz w:val="28"/>
          <w:szCs w:val="28"/>
          <w:lang w:val="sq-AL"/>
        </w:rPr>
        <w:t>ë</w:t>
      </w:r>
      <w:r w:rsidRPr="00C03A20">
        <w:rPr>
          <w:rFonts w:ascii="Times New Roman" w:hAnsi="Times New Roman"/>
          <w:color w:val="000000" w:themeColor="text1"/>
          <w:sz w:val="28"/>
          <w:szCs w:val="28"/>
          <w:lang w:val="sq-AL"/>
        </w:rPr>
        <w:t xml:space="preserve"> u mundëson palëve të zgjidhin përmes arbitrazhit </w:t>
      </w:r>
      <w:r w:rsidR="000D610D" w:rsidRPr="00C03A20">
        <w:rPr>
          <w:rFonts w:ascii="Times New Roman" w:hAnsi="Times New Roman"/>
          <w:color w:val="000000" w:themeColor="text1"/>
          <w:sz w:val="28"/>
          <w:szCs w:val="28"/>
          <w:lang w:val="sq-AL"/>
        </w:rPr>
        <w:t>mosmarrëveshjet</w:t>
      </w:r>
      <w:r w:rsidRPr="00C03A20">
        <w:rPr>
          <w:rFonts w:ascii="Times New Roman" w:hAnsi="Times New Roman"/>
          <w:color w:val="000000" w:themeColor="text1"/>
          <w:sz w:val="28"/>
          <w:szCs w:val="28"/>
          <w:lang w:val="sq-AL"/>
        </w:rPr>
        <w:t xml:space="preserve"> e karakterit tregtar ndërkombëtar </w:t>
      </w:r>
      <w:r w:rsidRPr="00C03A20">
        <w:rPr>
          <w:sz w:val="28"/>
          <w:szCs w:val="28"/>
          <w:lang w:val="sq-AL"/>
        </w:rPr>
        <w:t xml:space="preserve">, </w:t>
      </w:r>
      <w:r w:rsidRPr="00C03A20">
        <w:rPr>
          <w:rFonts w:ascii="Times New Roman" w:hAnsi="Times New Roman"/>
          <w:sz w:val="28"/>
          <w:szCs w:val="28"/>
          <w:lang w:val="sq-AL"/>
        </w:rPr>
        <w:t xml:space="preserve">edhe pse vijnë nga vendet e ndryshme, në bazë të autonomisë së vullnetit të tyre të zgjedhin vendin, kohën, arbitrat, rregullat, gjuhën në të cilën do të zhvillohet </w:t>
      </w:r>
      <w:r w:rsidRPr="00C03A20">
        <w:rPr>
          <w:rFonts w:ascii="Times New Roman" w:hAnsi="Times New Roman"/>
          <w:sz w:val="28"/>
          <w:szCs w:val="28"/>
          <w:lang w:val="sq-AL"/>
        </w:rPr>
        <w:lastRenderedPageBreak/>
        <w:t>procedura para arbitrazhit tregtar ndërkombëtar, gjëra që nuk mund të bëhen para gjykatave shtetërore</w:t>
      </w:r>
      <w:r w:rsidR="0051303C" w:rsidRPr="00C03A20">
        <w:rPr>
          <w:sz w:val="28"/>
          <w:szCs w:val="28"/>
          <w:lang w:val="sq-AL"/>
        </w:rPr>
        <w:t>;</w:t>
      </w:r>
    </w:p>
    <w:p w:rsidR="002B4BB0" w:rsidRPr="00C03A20" w:rsidRDefault="002B4BB0" w:rsidP="00C03A20">
      <w:pPr>
        <w:pStyle w:val="ListParagraph"/>
        <w:numPr>
          <w:ilvl w:val="0"/>
          <w:numId w:val="15"/>
        </w:numPr>
        <w:spacing w:after="0"/>
        <w:ind w:left="360"/>
        <w:jc w:val="both"/>
        <w:rPr>
          <w:rFonts w:ascii="Times New Roman" w:hAnsi="Times New Roman"/>
          <w:sz w:val="28"/>
          <w:szCs w:val="28"/>
          <w:lang w:val="sq-AL"/>
        </w:rPr>
      </w:pPr>
      <w:r w:rsidRPr="00C03A20">
        <w:rPr>
          <w:rFonts w:ascii="Times New Roman" w:hAnsi="Times New Roman"/>
          <w:color w:val="000000" w:themeColor="text1"/>
          <w:sz w:val="28"/>
          <w:szCs w:val="28"/>
          <w:lang w:val="sq-AL"/>
        </w:rPr>
        <w:t>Shmangia e formaliteteve dhe fleksibiliteti përmes arbitrazhit</w:t>
      </w:r>
      <w:r w:rsidR="0051303C" w:rsidRPr="00C03A20">
        <w:rPr>
          <w:rFonts w:ascii="Times New Roman" w:hAnsi="Times New Roman"/>
          <w:color w:val="000000" w:themeColor="text1"/>
          <w:sz w:val="28"/>
          <w:szCs w:val="28"/>
          <w:lang w:val="sq-AL"/>
        </w:rPr>
        <w:t>;</w:t>
      </w:r>
    </w:p>
    <w:p w:rsidR="002B4BB0" w:rsidRPr="00C03A20" w:rsidRDefault="002B4BB0" w:rsidP="00C03A20">
      <w:pPr>
        <w:pStyle w:val="ListParagraph"/>
        <w:numPr>
          <w:ilvl w:val="0"/>
          <w:numId w:val="15"/>
        </w:numPr>
        <w:spacing w:after="0"/>
        <w:ind w:left="360"/>
        <w:jc w:val="both"/>
        <w:rPr>
          <w:rFonts w:ascii="Times New Roman" w:hAnsi="Times New Roman"/>
          <w:sz w:val="28"/>
          <w:szCs w:val="28"/>
          <w:lang w:val="sq-AL"/>
        </w:rPr>
      </w:pPr>
      <w:r w:rsidRPr="00C03A20">
        <w:rPr>
          <w:rFonts w:ascii="Times New Roman" w:hAnsi="Times New Roman"/>
          <w:color w:val="000000" w:themeColor="text1"/>
          <w:sz w:val="28"/>
          <w:szCs w:val="28"/>
          <w:lang w:val="sq-AL"/>
        </w:rPr>
        <w:t xml:space="preserve">Zgjidhja e shpejtë dhe efikase e </w:t>
      </w:r>
      <w:r w:rsidR="001314B9" w:rsidRPr="00C03A20">
        <w:rPr>
          <w:rFonts w:ascii="Times New Roman" w:hAnsi="Times New Roman"/>
          <w:color w:val="000000" w:themeColor="text1"/>
          <w:sz w:val="28"/>
          <w:szCs w:val="28"/>
          <w:lang w:val="sq-AL"/>
        </w:rPr>
        <w:t>mosmarrëveshjeve</w:t>
      </w:r>
      <w:r w:rsidRPr="00C03A20">
        <w:rPr>
          <w:rFonts w:ascii="Times New Roman" w:hAnsi="Times New Roman"/>
          <w:color w:val="000000" w:themeColor="text1"/>
          <w:sz w:val="28"/>
          <w:szCs w:val="28"/>
          <w:lang w:val="sq-AL"/>
        </w:rPr>
        <w:t xml:space="preserve"> me anë të procedurës së arbitrazhit</w:t>
      </w:r>
      <w:r w:rsidR="0051303C" w:rsidRPr="00C03A20">
        <w:rPr>
          <w:rFonts w:ascii="Times New Roman" w:hAnsi="Times New Roman"/>
          <w:color w:val="000000" w:themeColor="text1"/>
          <w:sz w:val="28"/>
          <w:szCs w:val="28"/>
          <w:lang w:val="sq-AL"/>
        </w:rPr>
        <w:t>;</w:t>
      </w:r>
    </w:p>
    <w:p w:rsidR="002B4BB0" w:rsidRPr="00C03A20" w:rsidRDefault="002B4BB0" w:rsidP="00C03A20">
      <w:pPr>
        <w:pStyle w:val="ListParagraph"/>
        <w:numPr>
          <w:ilvl w:val="0"/>
          <w:numId w:val="15"/>
        </w:numPr>
        <w:spacing w:after="0"/>
        <w:ind w:left="360"/>
        <w:jc w:val="both"/>
        <w:rPr>
          <w:rFonts w:ascii="Times New Roman" w:hAnsi="Times New Roman"/>
          <w:sz w:val="28"/>
          <w:szCs w:val="28"/>
          <w:lang w:val="sq-AL"/>
        </w:rPr>
      </w:pPr>
      <w:r w:rsidRPr="00C03A20">
        <w:rPr>
          <w:rFonts w:ascii="Times New Roman" w:hAnsi="Times New Roman"/>
          <w:color w:val="000000" w:themeColor="text1"/>
          <w:sz w:val="28"/>
          <w:szCs w:val="28"/>
          <w:lang w:val="sq-AL"/>
        </w:rPr>
        <w:t xml:space="preserve">Konfidencialiteti </w:t>
      </w:r>
      <w:r w:rsidRPr="00C03A20">
        <w:rPr>
          <w:rFonts w:ascii="Times New Roman" w:hAnsi="Times New Roman"/>
          <w:sz w:val="28"/>
          <w:szCs w:val="28"/>
          <w:lang w:val="sq-AL"/>
        </w:rPr>
        <w:t>pasi si rregull vendimet e arbitrazhit nuk publikohen, në dallim nga procesi gjyqësor i cili mbështetet në parimin e gjykimit me dyer të hapura</w:t>
      </w:r>
      <w:r w:rsidR="000830C2" w:rsidRPr="00C03A20">
        <w:rPr>
          <w:rFonts w:ascii="Times New Roman" w:hAnsi="Times New Roman"/>
          <w:sz w:val="28"/>
          <w:szCs w:val="28"/>
          <w:lang w:val="sq-AL"/>
        </w:rPr>
        <w:t>;</w:t>
      </w:r>
    </w:p>
    <w:p w:rsidR="002B4BB0" w:rsidRPr="00C03A20" w:rsidRDefault="002B4BB0" w:rsidP="00C03A20">
      <w:pPr>
        <w:pStyle w:val="ListParagraph"/>
        <w:numPr>
          <w:ilvl w:val="0"/>
          <w:numId w:val="15"/>
        </w:numPr>
        <w:spacing w:after="0"/>
        <w:ind w:left="360"/>
        <w:jc w:val="both"/>
        <w:rPr>
          <w:rFonts w:ascii="Times New Roman" w:hAnsi="Times New Roman"/>
          <w:sz w:val="28"/>
          <w:szCs w:val="28"/>
          <w:lang w:val="sq-AL"/>
        </w:rPr>
      </w:pPr>
      <w:r w:rsidRPr="00C03A20">
        <w:rPr>
          <w:rFonts w:ascii="Times New Roman" w:hAnsi="Times New Roman"/>
          <w:sz w:val="28"/>
          <w:szCs w:val="28"/>
          <w:lang w:val="sq-AL"/>
        </w:rPr>
        <w:t>Mundësia e zgjedhjes së arbitrave nga vet palët paraqet një përparësi të madhe të arbitrazhit në raport me gjykatat e rregullta</w:t>
      </w:r>
      <w:r w:rsidR="000830C2" w:rsidRPr="00C03A20">
        <w:rPr>
          <w:rFonts w:ascii="Times New Roman" w:hAnsi="Times New Roman"/>
          <w:sz w:val="28"/>
          <w:szCs w:val="28"/>
          <w:lang w:val="sq-AL"/>
        </w:rPr>
        <w:t>;</w:t>
      </w:r>
    </w:p>
    <w:p w:rsidR="002B4BB0" w:rsidRPr="00C03A20" w:rsidRDefault="002B4BB0" w:rsidP="00C03A20">
      <w:pPr>
        <w:pStyle w:val="ListParagraph"/>
        <w:numPr>
          <w:ilvl w:val="0"/>
          <w:numId w:val="15"/>
        </w:numPr>
        <w:spacing w:after="0"/>
        <w:ind w:left="360"/>
        <w:jc w:val="both"/>
        <w:rPr>
          <w:rFonts w:ascii="Times New Roman" w:hAnsi="Times New Roman"/>
          <w:sz w:val="28"/>
          <w:szCs w:val="28"/>
          <w:lang w:val="sq-AL"/>
        </w:rPr>
      </w:pPr>
      <w:r w:rsidRPr="00C03A20">
        <w:rPr>
          <w:rFonts w:ascii="Times New Roman" w:hAnsi="Times New Roman"/>
          <w:sz w:val="28"/>
          <w:szCs w:val="28"/>
          <w:lang w:val="sq-AL"/>
        </w:rPr>
        <w:t>Pavarësia e arbitrazhit në punën e tij. Kjo përparësi e arbitrazhit nënkupton atë se organet e tjera shtetërore, e në veçanti gjykatat, nuk mund të ndikojnë në punën e tij.</w:t>
      </w:r>
    </w:p>
    <w:p w:rsidR="002B4BB0" w:rsidRPr="00C03A20" w:rsidRDefault="002B4BB0" w:rsidP="00C03A20">
      <w:pPr>
        <w:pStyle w:val="ListParagraph"/>
        <w:numPr>
          <w:ilvl w:val="0"/>
          <w:numId w:val="15"/>
        </w:numPr>
        <w:spacing w:after="0"/>
        <w:ind w:left="360"/>
        <w:jc w:val="both"/>
        <w:rPr>
          <w:rFonts w:ascii="Times New Roman" w:hAnsi="Times New Roman"/>
          <w:sz w:val="28"/>
          <w:szCs w:val="28"/>
          <w:lang w:val="sq-AL"/>
        </w:rPr>
      </w:pPr>
      <w:r w:rsidRPr="00C03A20">
        <w:rPr>
          <w:rFonts w:ascii="Times New Roman" w:hAnsi="Times New Roman"/>
          <w:sz w:val="28"/>
          <w:szCs w:val="28"/>
          <w:lang w:val="sq-AL"/>
        </w:rPr>
        <w:t>Njohja dhe ekzekutimi i vendimeve të huaja të arbitrazhit paraqet përparësinë e radhës së këtij institucioni kundrejt gjykatave të rregullta.</w:t>
      </w:r>
    </w:p>
    <w:p w:rsidR="00BE1B15" w:rsidRPr="00C03A20" w:rsidRDefault="00BE1B15" w:rsidP="00C03A20">
      <w:pPr>
        <w:spacing w:after="0"/>
        <w:jc w:val="both"/>
        <w:rPr>
          <w:rFonts w:ascii="Times New Roman" w:hAnsi="Times New Roman"/>
          <w:sz w:val="28"/>
          <w:szCs w:val="28"/>
          <w:lang w:val="sq-AL"/>
        </w:rPr>
      </w:pPr>
    </w:p>
    <w:p w:rsidR="002B4BB0" w:rsidRPr="00C03A20" w:rsidRDefault="002B4BB0" w:rsidP="00C03A20">
      <w:pPr>
        <w:spacing w:after="0"/>
        <w:jc w:val="both"/>
        <w:rPr>
          <w:rFonts w:ascii="Times New Roman" w:hAnsi="Times New Roman"/>
          <w:color w:val="000000" w:themeColor="text1"/>
          <w:sz w:val="28"/>
          <w:szCs w:val="28"/>
          <w:lang w:val="sq-AL"/>
        </w:rPr>
      </w:pPr>
      <w:r w:rsidRPr="00C03A20">
        <w:rPr>
          <w:rFonts w:ascii="Times New Roman" w:hAnsi="Times New Roman"/>
          <w:color w:val="000000" w:themeColor="text1"/>
          <w:sz w:val="28"/>
          <w:szCs w:val="28"/>
          <w:lang w:val="sq-AL"/>
        </w:rPr>
        <w:t xml:space="preserve">Miratimi i </w:t>
      </w:r>
      <w:r w:rsidR="00F61D12" w:rsidRPr="00C03A20">
        <w:rPr>
          <w:rFonts w:ascii="Times New Roman" w:hAnsi="Times New Roman"/>
          <w:color w:val="000000" w:themeColor="text1"/>
          <w:sz w:val="28"/>
          <w:szCs w:val="28"/>
          <w:lang w:val="sq-AL"/>
        </w:rPr>
        <w:t>k</w:t>
      </w:r>
      <w:r w:rsidR="009B66FB" w:rsidRPr="00C03A20">
        <w:rPr>
          <w:rFonts w:ascii="Times New Roman" w:hAnsi="Times New Roman"/>
          <w:color w:val="000000" w:themeColor="text1"/>
          <w:sz w:val="28"/>
          <w:szCs w:val="28"/>
          <w:lang w:val="sq-AL"/>
        </w:rPr>
        <w:t>ë</w:t>
      </w:r>
      <w:r w:rsidR="00F61D12" w:rsidRPr="00C03A20">
        <w:rPr>
          <w:rFonts w:ascii="Times New Roman" w:hAnsi="Times New Roman"/>
          <w:color w:val="000000" w:themeColor="text1"/>
          <w:sz w:val="28"/>
          <w:szCs w:val="28"/>
          <w:lang w:val="sq-AL"/>
        </w:rPr>
        <w:t>tij projekt</w:t>
      </w:r>
      <w:r w:rsidRPr="00C03A20">
        <w:rPr>
          <w:rFonts w:ascii="Times New Roman" w:hAnsi="Times New Roman"/>
          <w:color w:val="000000" w:themeColor="text1"/>
          <w:sz w:val="28"/>
          <w:szCs w:val="28"/>
          <w:lang w:val="sq-AL"/>
        </w:rPr>
        <w:t xml:space="preserve">ligji </w:t>
      </w:r>
      <w:r w:rsidR="003311A3" w:rsidRPr="00C03A20">
        <w:rPr>
          <w:rFonts w:ascii="Times New Roman" w:hAnsi="Times New Roman"/>
          <w:color w:val="000000" w:themeColor="text1"/>
          <w:sz w:val="28"/>
          <w:szCs w:val="28"/>
          <w:lang w:val="sq-AL"/>
        </w:rPr>
        <w:t>do t</w:t>
      </w:r>
      <w:r w:rsidR="009B66FB" w:rsidRPr="00C03A20">
        <w:rPr>
          <w:rFonts w:ascii="Times New Roman" w:hAnsi="Times New Roman"/>
          <w:color w:val="000000" w:themeColor="text1"/>
          <w:sz w:val="28"/>
          <w:szCs w:val="28"/>
          <w:lang w:val="sq-AL"/>
        </w:rPr>
        <w:t>ë</w:t>
      </w:r>
      <w:r w:rsidR="003311A3" w:rsidRPr="00C03A20">
        <w:rPr>
          <w:rFonts w:ascii="Times New Roman" w:hAnsi="Times New Roman"/>
          <w:color w:val="000000" w:themeColor="text1"/>
          <w:sz w:val="28"/>
          <w:szCs w:val="28"/>
          <w:lang w:val="sq-AL"/>
        </w:rPr>
        <w:t xml:space="preserve"> sillte </w:t>
      </w:r>
      <w:r w:rsidR="00DC54F7" w:rsidRPr="00C03A20">
        <w:rPr>
          <w:rFonts w:ascii="Times New Roman" w:hAnsi="Times New Roman"/>
          <w:color w:val="000000" w:themeColor="text1"/>
          <w:sz w:val="28"/>
          <w:szCs w:val="28"/>
          <w:lang w:val="sq-AL"/>
        </w:rPr>
        <w:t>rezultate pozitive n</w:t>
      </w:r>
      <w:r w:rsidR="009B66FB" w:rsidRPr="00C03A20">
        <w:rPr>
          <w:rFonts w:ascii="Times New Roman" w:hAnsi="Times New Roman"/>
          <w:color w:val="000000" w:themeColor="text1"/>
          <w:sz w:val="28"/>
          <w:szCs w:val="28"/>
          <w:lang w:val="sq-AL"/>
        </w:rPr>
        <w:t>ë</w:t>
      </w:r>
      <w:r w:rsidR="00DC54F7" w:rsidRPr="00C03A20">
        <w:rPr>
          <w:rFonts w:ascii="Times New Roman" w:hAnsi="Times New Roman"/>
          <w:color w:val="000000" w:themeColor="text1"/>
          <w:sz w:val="28"/>
          <w:szCs w:val="28"/>
          <w:lang w:val="sq-AL"/>
        </w:rPr>
        <w:t xml:space="preserve"> drejtim t</w:t>
      </w:r>
      <w:r w:rsidR="009B66FB" w:rsidRPr="00C03A20">
        <w:rPr>
          <w:rFonts w:ascii="Times New Roman" w:hAnsi="Times New Roman"/>
          <w:color w:val="000000" w:themeColor="text1"/>
          <w:sz w:val="28"/>
          <w:szCs w:val="28"/>
          <w:lang w:val="sq-AL"/>
        </w:rPr>
        <w:t>ë</w:t>
      </w:r>
      <w:r w:rsidR="00DC54F7" w:rsidRPr="00C03A20">
        <w:rPr>
          <w:rFonts w:ascii="Times New Roman" w:hAnsi="Times New Roman"/>
          <w:color w:val="000000" w:themeColor="text1"/>
          <w:sz w:val="28"/>
          <w:szCs w:val="28"/>
          <w:lang w:val="sq-AL"/>
        </w:rPr>
        <w:t xml:space="preserve"> </w:t>
      </w:r>
      <w:r w:rsidRPr="00C03A20">
        <w:rPr>
          <w:rFonts w:ascii="Times New Roman" w:hAnsi="Times New Roman"/>
          <w:color w:val="000000" w:themeColor="text1"/>
          <w:sz w:val="28"/>
          <w:szCs w:val="28"/>
          <w:lang w:val="sq-AL"/>
        </w:rPr>
        <w:t>konsolid</w:t>
      </w:r>
      <w:r w:rsidR="00DC54F7" w:rsidRPr="00C03A20">
        <w:rPr>
          <w:rFonts w:ascii="Times New Roman" w:hAnsi="Times New Roman"/>
          <w:color w:val="000000" w:themeColor="text1"/>
          <w:sz w:val="28"/>
          <w:szCs w:val="28"/>
          <w:lang w:val="sq-AL"/>
        </w:rPr>
        <w:t>imit t</w:t>
      </w:r>
      <w:r w:rsidR="009B66FB" w:rsidRPr="00C03A20">
        <w:rPr>
          <w:rFonts w:ascii="Times New Roman" w:hAnsi="Times New Roman"/>
          <w:color w:val="000000" w:themeColor="text1"/>
          <w:sz w:val="28"/>
          <w:szCs w:val="28"/>
          <w:lang w:val="sq-AL"/>
        </w:rPr>
        <w:t>ë</w:t>
      </w:r>
      <w:r w:rsidR="00DC54F7" w:rsidRPr="00C03A20">
        <w:rPr>
          <w:rFonts w:ascii="Times New Roman" w:hAnsi="Times New Roman"/>
          <w:color w:val="000000" w:themeColor="text1"/>
          <w:sz w:val="28"/>
          <w:szCs w:val="28"/>
          <w:lang w:val="sq-AL"/>
        </w:rPr>
        <w:t xml:space="preserve"> </w:t>
      </w:r>
      <w:r w:rsidRPr="00C03A20">
        <w:rPr>
          <w:rFonts w:ascii="Times New Roman" w:hAnsi="Times New Roman"/>
          <w:color w:val="000000" w:themeColor="text1"/>
          <w:sz w:val="28"/>
          <w:szCs w:val="28"/>
          <w:lang w:val="sq-AL"/>
        </w:rPr>
        <w:t>kuadri</w:t>
      </w:r>
      <w:r w:rsidR="00DC54F7" w:rsidRPr="00C03A20">
        <w:rPr>
          <w:rFonts w:ascii="Times New Roman" w:hAnsi="Times New Roman"/>
          <w:color w:val="000000" w:themeColor="text1"/>
          <w:sz w:val="28"/>
          <w:szCs w:val="28"/>
          <w:lang w:val="sq-AL"/>
        </w:rPr>
        <w:t>t</w:t>
      </w:r>
      <w:r w:rsidRPr="00C03A20">
        <w:rPr>
          <w:rFonts w:ascii="Times New Roman" w:hAnsi="Times New Roman"/>
          <w:color w:val="000000" w:themeColor="text1"/>
          <w:sz w:val="28"/>
          <w:szCs w:val="28"/>
          <w:lang w:val="sq-AL"/>
        </w:rPr>
        <w:t xml:space="preserve"> ligjor. Projektligji përmba</w:t>
      </w:r>
      <w:r w:rsidR="00A90A71" w:rsidRPr="00C03A20">
        <w:rPr>
          <w:rFonts w:ascii="Times New Roman" w:hAnsi="Times New Roman"/>
          <w:color w:val="000000" w:themeColor="text1"/>
          <w:sz w:val="28"/>
          <w:szCs w:val="28"/>
          <w:lang w:val="sq-AL"/>
        </w:rPr>
        <w:t>n</w:t>
      </w:r>
      <w:r w:rsidRPr="00C03A20">
        <w:rPr>
          <w:rFonts w:ascii="Times New Roman" w:hAnsi="Times New Roman"/>
          <w:color w:val="000000" w:themeColor="text1"/>
          <w:sz w:val="28"/>
          <w:szCs w:val="28"/>
          <w:lang w:val="sq-AL"/>
        </w:rPr>
        <w:t xml:space="preserve"> dispozita që rregullojnë si arbitrazhin e brendshëm ashtu edhe ndërkombëtar. </w:t>
      </w:r>
      <w:r w:rsidR="00586999" w:rsidRPr="00C03A20">
        <w:rPr>
          <w:rFonts w:ascii="Times New Roman" w:hAnsi="Times New Roman"/>
          <w:color w:val="000000" w:themeColor="text1"/>
          <w:sz w:val="28"/>
          <w:szCs w:val="28"/>
          <w:lang w:val="sq-AL"/>
        </w:rPr>
        <w:t xml:space="preserve">Projektligji </w:t>
      </w:r>
      <w:r w:rsidRPr="00C03A20">
        <w:rPr>
          <w:rFonts w:ascii="Times New Roman" w:hAnsi="Times New Roman"/>
          <w:color w:val="000000" w:themeColor="text1"/>
          <w:sz w:val="28"/>
          <w:szCs w:val="28"/>
          <w:lang w:val="sq-AL"/>
        </w:rPr>
        <w:t>përmba</w:t>
      </w:r>
      <w:r w:rsidR="00586999" w:rsidRPr="00C03A20">
        <w:rPr>
          <w:rFonts w:ascii="Times New Roman" w:hAnsi="Times New Roman"/>
          <w:color w:val="000000" w:themeColor="text1"/>
          <w:sz w:val="28"/>
          <w:szCs w:val="28"/>
          <w:lang w:val="sq-AL"/>
        </w:rPr>
        <w:t>n</w:t>
      </w:r>
      <w:r w:rsidRPr="00C03A20">
        <w:rPr>
          <w:rFonts w:ascii="Times New Roman" w:hAnsi="Times New Roman"/>
          <w:color w:val="000000" w:themeColor="text1"/>
          <w:sz w:val="28"/>
          <w:szCs w:val="28"/>
          <w:lang w:val="sq-AL"/>
        </w:rPr>
        <w:t xml:space="preserve"> dispozita ku përfshihen të përshtatura parashikimet e Konventës së Nju Jorkut, konkretisht dispozitat që rregullojnë në parim detyrimin e shtetit për të njohur vendimin dhe marrëveshjen e arbitrazhit, si dhe dispozitat që rregullojnë paraqitjen e kërkesës për njohje</w:t>
      </w:r>
      <w:r w:rsidR="00777489" w:rsidRPr="00C03A20">
        <w:rPr>
          <w:rFonts w:ascii="Times New Roman" w:hAnsi="Times New Roman"/>
          <w:color w:val="000000" w:themeColor="text1"/>
          <w:sz w:val="28"/>
          <w:szCs w:val="28"/>
          <w:lang w:val="sq-AL"/>
        </w:rPr>
        <w:t>.</w:t>
      </w:r>
      <w:r w:rsidRPr="00C03A20">
        <w:rPr>
          <w:rFonts w:ascii="Times New Roman" w:hAnsi="Times New Roman"/>
          <w:color w:val="000000" w:themeColor="text1"/>
          <w:sz w:val="28"/>
          <w:szCs w:val="28"/>
          <w:lang w:val="sq-AL"/>
        </w:rPr>
        <w:t xml:space="preserve"> </w:t>
      </w:r>
      <w:r w:rsidR="00131179" w:rsidRPr="00C03A20">
        <w:rPr>
          <w:rFonts w:ascii="Times New Roman" w:hAnsi="Times New Roman"/>
          <w:color w:val="000000" w:themeColor="text1"/>
          <w:sz w:val="28"/>
          <w:szCs w:val="28"/>
          <w:lang w:val="sq-AL"/>
        </w:rPr>
        <w:t xml:space="preserve">Gjithashtu, projektligji </w:t>
      </w:r>
      <w:r w:rsidRPr="00C03A20">
        <w:rPr>
          <w:rFonts w:ascii="Times New Roman" w:hAnsi="Times New Roman"/>
          <w:color w:val="000000" w:themeColor="text1"/>
          <w:sz w:val="28"/>
          <w:szCs w:val="28"/>
          <w:lang w:val="sq-AL"/>
        </w:rPr>
        <w:t>m</w:t>
      </w:r>
      <w:r w:rsidR="00131179" w:rsidRPr="00C03A20">
        <w:rPr>
          <w:rFonts w:ascii="Times New Roman" w:hAnsi="Times New Roman"/>
          <w:color w:val="000000" w:themeColor="text1"/>
          <w:sz w:val="28"/>
          <w:szCs w:val="28"/>
          <w:lang w:val="sq-AL"/>
        </w:rPr>
        <w:t>err</w:t>
      </w:r>
      <w:r w:rsidRPr="00C03A20">
        <w:rPr>
          <w:rFonts w:ascii="Times New Roman" w:hAnsi="Times New Roman"/>
          <w:color w:val="000000" w:themeColor="text1"/>
          <w:sz w:val="28"/>
          <w:szCs w:val="28"/>
          <w:lang w:val="sq-AL"/>
        </w:rPr>
        <w:t xml:space="preserve"> në konsideratë parashikimeve të ligjit model UNCITRAL, të cilat jo vetëm që nuk bien ndesh me parashikimet e Konventës së Nju Jorkut, por përmirësojnë</w:t>
      </w:r>
      <w:r w:rsidR="00215B4F" w:rsidRPr="00C03A20">
        <w:rPr>
          <w:rFonts w:ascii="Times New Roman" w:hAnsi="Times New Roman"/>
          <w:color w:val="000000" w:themeColor="text1"/>
          <w:sz w:val="28"/>
          <w:szCs w:val="28"/>
          <w:lang w:val="sq-AL"/>
        </w:rPr>
        <w:t xml:space="preserve"> m</w:t>
      </w:r>
      <w:r w:rsidR="009B66FB" w:rsidRPr="00C03A20">
        <w:rPr>
          <w:rFonts w:ascii="Times New Roman" w:hAnsi="Times New Roman"/>
          <w:color w:val="000000" w:themeColor="text1"/>
          <w:sz w:val="28"/>
          <w:szCs w:val="28"/>
          <w:lang w:val="sq-AL"/>
        </w:rPr>
        <w:t>ë</w:t>
      </w:r>
      <w:r w:rsidR="00215B4F" w:rsidRPr="00C03A20">
        <w:rPr>
          <w:rFonts w:ascii="Times New Roman" w:hAnsi="Times New Roman"/>
          <w:color w:val="000000" w:themeColor="text1"/>
          <w:sz w:val="28"/>
          <w:szCs w:val="28"/>
          <w:lang w:val="sq-AL"/>
        </w:rPr>
        <w:t xml:space="preserve"> tej </w:t>
      </w:r>
      <w:r w:rsidRPr="00C03A20">
        <w:rPr>
          <w:rFonts w:ascii="Times New Roman" w:hAnsi="Times New Roman"/>
          <w:color w:val="000000" w:themeColor="text1"/>
          <w:sz w:val="28"/>
          <w:szCs w:val="28"/>
          <w:lang w:val="sq-AL"/>
        </w:rPr>
        <w:t>pro</w:t>
      </w:r>
      <w:r w:rsidR="00215B4F" w:rsidRPr="00C03A20">
        <w:rPr>
          <w:rFonts w:ascii="Times New Roman" w:hAnsi="Times New Roman"/>
          <w:color w:val="000000" w:themeColor="text1"/>
          <w:sz w:val="28"/>
          <w:szCs w:val="28"/>
          <w:lang w:val="sq-AL"/>
        </w:rPr>
        <w:t>c</w:t>
      </w:r>
      <w:r w:rsidRPr="00C03A20">
        <w:rPr>
          <w:rFonts w:ascii="Times New Roman" w:hAnsi="Times New Roman"/>
          <w:color w:val="000000" w:themeColor="text1"/>
          <w:sz w:val="28"/>
          <w:szCs w:val="28"/>
          <w:lang w:val="sq-AL"/>
        </w:rPr>
        <w:t xml:space="preserve">edurat e njohjes </w:t>
      </w:r>
      <w:r w:rsidR="00215B4F" w:rsidRPr="00C03A20">
        <w:rPr>
          <w:rFonts w:ascii="Times New Roman" w:hAnsi="Times New Roman"/>
          <w:color w:val="000000" w:themeColor="text1"/>
          <w:sz w:val="28"/>
          <w:szCs w:val="28"/>
          <w:lang w:val="sq-AL"/>
        </w:rPr>
        <w:t>dhe zbatimit t</w:t>
      </w:r>
      <w:r w:rsidRPr="00C03A20">
        <w:rPr>
          <w:rFonts w:ascii="Times New Roman" w:hAnsi="Times New Roman"/>
          <w:color w:val="000000" w:themeColor="text1"/>
          <w:sz w:val="28"/>
          <w:szCs w:val="28"/>
          <w:lang w:val="sq-AL"/>
        </w:rPr>
        <w:t xml:space="preserve">ë vendimeve të arbitrazhit ndërkombëtar. </w:t>
      </w:r>
    </w:p>
    <w:p w:rsidR="004C5EC6" w:rsidRPr="00C03A20" w:rsidRDefault="004C5EC6" w:rsidP="00C03A20">
      <w:pPr>
        <w:spacing w:after="0"/>
        <w:rPr>
          <w:rFonts w:ascii="Times New Roman" w:hAnsi="Times New Roman"/>
          <w:sz w:val="28"/>
          <w:szCs w:val="28"/>
          <w:lang w:val="sq-AL"/>
        </w:rPr>
      </w:pPr>
    </w:p>
    <w:p w:rsidR="00734A22" w:rsidRPr="00C03A20" w:rsidRDefault="008209E7" w:rsidP="00C03A20">
      <w:pPr>
        <w:pStyle w:val="ListParagraph"/>
        <w:spacing w:after="0"/>
        <w:ind w:hanging="720"/>
        <w:jc w:val="both"/>
        <w:rPr>
          <w:rFonts w:ascii="Times New Roman" w:hAnsi="Times New Roman"/>
          <w:b/>
          <w:sz w:val="28"/>
          <w:szCs w:val="28"/>
          <w:lang w:val="sq-AL"/>
        </w:rPr>
      </w:pPr>
      <w:r w:rsidRPr="00C03A20">
        <w:rPr>
          <w:rFonts w:ascii="Times New Roman" w:hAnsi="Times New Roman"/>
          <w:b/>
          <w:sz w:val="28"/>
          <w:szCs w:val="28"/>
          <w:lang w:val="sq-AL"/>
        </w:rPr>
        <w:t xml:space="preserve">IV. </w:t>
      </w:r>
      <w:r w:rsidR="004C5EC6" w:rsidRPr="00C03A20">
        <w:rPr>
          <w:rFonts w:ascii="Times New Roman" w:hAnsi="Times New Roman"/>
          <w:b/>
          <w:sz w:val="28"/>
          <w:szCs w:val="28"/>
          <w:lang w:val="sq-AL"/>
        </w:rPr>
        <w:tab/>
      </w:r>
      <w:r w:rsidR="00734A22" w:rsidRPr="00C03A20">
        <w:rPr>
          <w:rFonts w:ascii="Times New Roman" w:hAnsi="Times New Roman"/>
          <w:b/>
          <w:sz w:val="28"/>
          <w:szCs w:val="28"/>
          <w:lang w:val="sq-AL"/>
        </w:rPr>
        <w:t>VLERËSIMI I LIGJSHMËRISË, KUSHTETUESHMËRISË DHE HARMONIZIMI ME LEGJISLACIONIN NË FUQI VENDAS E NDËRKOMBËTAR</w:t>
      </w:r>
    </w:p>
    <w:p w:rsidR="00734A22" w:rsidRPr="00C03A20" w:rsidRDefault="00734A22" w:rsidP="00C03A20">
      <w:pPr>
        <w:pStyle w:val="ListParagraph"/>
        <w:spacing w:after="0"/>
        <w:ind w:hanging="720"/>
        <w:jc w:val="both"/>
        <w:rPr>
          <w:rFonts w:ascii="Times New Roman" w:hAnsi="Times New Roman"/>
          <w:b/>
          <w:sz w:val="28"/>
          <w:szCs w:val="28"/>
          <w:lang w:val="sq-AL"/>
        </w:rPr>
      </w:pPr>
    </w:p>
    <w:p w:rsidR="00734A22" w:rsidRPr="00C03A20" w:rsidRDefault="00734A22" w:rsidP="00C03A20">
      <w:pPr>
        <w:spacing w:after="0"/>
        <w:jc w:val="both"/>
        <w:rPr>
          <w:rFonts w:ascii="Times New Roman" w:hAnsi="Times New Roman"/>
          <w:color w:val="000000"/>
          <w:sz w:val="28"/>
          <w:szCs w:val="28"/>
          <w:lang w:val="sq-AL"/>
        </w:rPr>
      </w:pPr>
      <w:r w:rsidRPr="00C03A20">
        <w:rPr>
          <w:rFonts w:ascii="Times New Roman" w:hAnsi="Times New Roman"/>
          <w:color w:val="000000"/>
          <w:sz w:val="28"/>
          <w:szCs w:val="28"/>
          <w:lang w:val="sq-AL"/>
        </w:rPr>
        <w:t>Projektligji është ha</w:t>
      </w:r>
      <w:r w:rsidR="00C54C0C" w:rsidRPr="00C03A20">
        <w:rPr>
          <w:rFonts w:ascii="Times New Roman" w:hAnsi="Times New Roman"/>
          <w:color w:val="000000"/>
          <w:sz w:val="28"/>
          <w:szCs w:val="28"/>
          <w:lang w:val="sq-AL"/>
        </w:rPr>
        <w:t xml:space="preserve">rtuar në mbështetje të neneve </w:t>
      </w:r>
      <w:r w:rsidR="00FE6CA1" w:rsidRPr="00C03A20">
        <w:rPr>
          <w:rFonts w:ascii="Times New Roman" w:hAnsi="Times New Roman"/>
          <w:color w:val="000000"/>
          <w:sz w:val="28"/>
          <w:szCs w:val="28"/>
          <w:lang w:val="sq-AL"/>
        </w:rPr>
        <w:t xml:space="preserve">78, </w:t>
      </w:r>
      <w:r w:rsidR="00C54C0C" w:rsidRPr="00C03A20">
        <w:rPr>
          <w:rFonts w:ascii="Times New Roman" w:hAnsi="Times New Roman"/>
          <w:color w:val="000000"/>
          <w:sz w:val="28"/>
          <w:szCs w:val="28"/>
          <w:lang w:val="sq-AL"/>
        </w:rPr>
        <w:t>81</w:t>
      </w:r>
      <w:r w:rsidRPr="00C03A20">
        <w:rPr>
          <w:rFonts w:ascii="Times New Roman" w:hAnsi="Times New Roman"/>
          <w:color w:val="000000"/>
          <w:sz w:val="28"/>
          <w:szCs w:val="28"/>
          <w:lang w:val="sq-AL"/>
        </w:rPr>
        <w:t xml:space="preserve"> dhe 83, pika 1</w:t>
      </w:r>
      <w:r w:rsidR="00C54C0C" w:rsidRPr="00C03A20">
        <w:rPr>
          <w:rFonts w:ascii="Times New Roman" w:hAnsi="Times New Roman"/>
          <w:color w:val="000000"/>
          <w:sz w:val="28"/>
          <w:szCs w:val="28"/>
          <w:lang w:val="sq-AL"/>
        </w:rPr>
        <w:t>, të</w:t>
      </w:r>
      <w:r w:rsidRPr="00C03A20">
        <w:rPr>
          <w:rFonts w:ascii="Times New Roman" w:hAnsi="Times New Roman"/>
          <w:color w:val="000000"/>
          <w:sz w:val="28"/>
          <w:szCs w:val="28"/>
          <w:lang w:val="sq-AL"/>
        </w:rPr>
        <w:t xml:space="preserve"> Kushtetutës dhe është në përputhje me parimet kushtetuese</w:t>
      </w:r>
      <w:r w:rsidR="00BD5799" w:rsidRPr="00C03A20">
        <w:rPr>
          <w:rFonts w:ascii="Times New Roman" w:hAnsi="Times New Roman"/>
          <w:color w:val="000000"/>
          <w:sz w:val="28"/>
          <w:szCs w:val="28"/>
          <w:lang w:val="sq-AL"/>
        </w:rPr>
        <w:t>, me parashikimet p</w:t>
      </w:r>
      <w:r w:rsidR="000D610D" w:rsidRPr="00C03A20">
        <w:rPr>
          <w:rFonts w:ascii="Times New Roman" w:hAnsi="Times New Roman"/>
          <w:color w:val="000000"/>
          <w:sz w:val="28"/>
          <w:szCs w:val="28"/>
          <w:lang w:val="sq-AL"/>
        </w:rPr>
        <w:t>ë</w:t>
      </w:r>
      <w:r w:rsidR="00BD5799" w:rsidRPr="00C03A20">
        <w:rPr>
          <w:rFonts w:ascii="Times New Roman" w:hAnsi="Times New Roman"/>
          <w:color w:val="000000"/>
          <w:sz w:val="28"/>
          <w:szCs w:val="28"/>
          <w:lang w:val="sq-AL"/>
        </w:rPr>
        <w:t>rkat</w:t>
      </w:r>
      <w:r w:rsidR="000D610D" w:rsidRPr="00C03A20">
        <w:rPr>
          <w:rFonts w:ascii="Times New Roman" w:hAnsi="Times New Roman"/>
          <w:color w:val="000000"/>
          <w:sz w:val="28"/>
          <w:szCs w:val="28"/>
          <w:lang w:val="sq-AL"/>
        </w:rPr>
        <w:t>ë</w:t>
      </w:r>
      <w:r w:rsidR="00BD5799" w:rsidRPr="00C03A20">
        <w:rPr>
          <w:rFonts w:ascii="Times New Roman" w:hAnsi="Times New Roman"/>
          <w:color w:val="000000"/>
          <w:sz w:val="28"/>
          <w:szCs w:val="28"/>
          <w:lang w:val="sq-AL"/>
        </w:rPr>
        <w:t>se t</w:t>
      </w:r>
      <w:r w:rsidR="000D610D" w:rsidRPr="00C03A20">
        <w:rPr>
          <w:rFonts w:ascii="Times New Roman" w:hAnsi="Times New Roman"/>
          <w:color w:val="000000"/>
          <w:sz w:val="28"/>
          <w:szCs w:val="28"/>
          <w:lang w:val="sq-AL"/>
        </w:rPr>
        <w:t>ë</w:t>
      </w:r>
      <w:r w:rsidR="00BD5799" w:rsidRPr="00C03A20">
        <w:rPr>
          <w:rFonts w:ascii="Times New Roman" w:hAnsi="Times New Roman"/>
          <w:color w:val="000000"/>
          <w:sz w:val="28"/>
          <w:szCs w:val="28"/>
          <w:lang w:val="sq-AL"/>
        </w:rPr>
        <w:t xml:space="preserve"> Kodit t</w:t>
      </w:r>
      <w:r w:rsidR="000D610D" w:rsidRPr="00C03A20">
        <w:rPr>
          <w:rFonts w:ascii="Times New Roman" w:hAnsi="Times New Roman"/>
          <w:color w:val="000000"/>
          <w:sz w:val="28"/>
          <w:szCs w:val="28"/>
          <w:lang w:val="sq-AL"/>
        </w:rPr>
        <w:t>ë</w:t>
      </w:r>
      <w:r w:rsidR="00BD5799" w:rsidRPr="00C03A20">
        <w:rPr>
          <w:rFonts w:ascii="Times New Roman" w:hAnsi="Times New Roman"/>
          <w:color w:val="000000"/>
          <w:sz w:val="28"/>
          <w:szCs w:val="28"/>
          <w:lang w:val="sq-AL"/>
        </w:rPr>
        <w:t xml:space="preserve"> Procedur</w:t>
      </w:r>
      <w:r w:rsidR="000D610D" w:rsidRPr="00C03A20">
        <w:rPr>
          <w:rFonts w:ascii="Times New Roman" w:hAnsi="Times New Roman"/>
          <w:color w:val="000000"/>
          <w:sz w:val="28"/>
          <w:szCs w:val="28"/>
          <w:lang w:val="sq-AL"/>
        </w:rPr>
        <w:t>ë</w:t>
      </w:r>
      <w:r w:rsidR="00BD5799" w:rsidRPr="00C03A20">
        <w:rPr>
          <w:rFonts w:ascii="Times New Roman" w:hAnsi="Times New Roman"/>
          <w:color w:val="000000"/>
          <w:sz w:val="28"/>
          <w:szCs w:val="28"/>
          <w:lang w:val="sq-AL"/>
        </w:rPr>
        <w:t>s Civile</w:t>
      </w:r>
      <w:r w:rsidR="00AF3278" w:rsidRPr="00C03A20">
        <w:rPr>
          <w:rFonts w:ascii="Times New Roman" w:hAnsi="Times New Roman"/>
          <w:color w:val="000000"/>
          <w:sz w:val="28"/>
          <w:szCs w:val="28"/>
          <w:lang w:val="sq-AL"/>
        </w:rPr>
        <w:t xml:space="preserve"> dhe me </w:t>
      </w:r>
      <w:r w:rsidR="00A16F9F" w:rsidRPr="00C03A20">
        <w:rPr>
          <w:rFonts w:ascii="Times New Roman" w:hAnsi="Times New Roman"/>
          <w:color w:val="000000"/>
          <w:sz w:val="28"/>
          <w:szCs w:val="28"/>
          <w:lang w:val="sq-AL"/>
        </w:rPr>
        <w:t>legjislacionin</w:t>
      </w:r>
      <w:r w:rsidR="00AF3278" w:rsidRPr="00C03A20">
        <w:rPr>
          <w:rFonts w:ascii="Times New Roman" w:hAnsi="Times New Roman"/>
          <w:color w:val="000000"/>
          <w:sz w:val="28"/>
          <w:szCs w:val="28"/>
          <w:lang w:val="sq-AL"/>
        </w:rPr>
        <w:t xml:space="preserve"> në fuqi.</w:t>
      </w:r>
    </w:p>
    <w:p w:rsidR="006C5A67" w:rsidRPr="00C03A20" w:rsidRDefault="006C5A67" w:rsidP="00C03A20">
      <w:pPr>
        <w:spacing w:after="0"/>
        <w:jc w:val="both"/>
        <w:rPr>
          <w:rFonts w:ascii="Times New Roman" w:eastAsia="Times New Roman" w:hAnsi="Times New Roman"/>
          <w:sz w:val="28"/>
          <w:szCs w:val="28"/>
          <w:lang w:val="sq-AL"/>
        </w:rPr>
      </w:pPr>
    </w:p>
    <w:p w:rsidR="006C5A67" w:rsidRPr="00C03A20" w:rsidRDefault="006C5A67" w:rsidP="00C03A20">
      <w:pPr>
        <w:spacing w:after="0"/>
        <w:jc w:val="both"/>
        <w:rPr>
          <w:rFonts w:ascii="Times New Roman" w:eastAsia="Times New Roman" w:hAnsi="Times New Roman"/>
          <w:sz w:val="28"/>
          <w:szCs w:val="28"/>
          <w:lang w:val="sq-AL"/>
        </w:rPr>
      </w:pPr>
      <w:r w:rsidRPr="00C03A20">
        <w:rPr>
          <w:rFonts w:ascii="Times New Roman" w:eastAsia="Times New Roman" w:hAnsi="Times New Roman"/>
          <w:sz w:val="28"/>
          <w:szCs w:val="28"/>
          <w:lang w:val="sq-AL"/>
        </w:rPr>
        <w:t xml:space="preserve">Hartimi dhe miratimi i ligjit për arbitrazhin gëzon mbështetje kushtetuese, për shkak se nëpërmjet tij sigurohet garantimi i parimit për një proces të rregullt </w:t>
      </w:r>
      <w:r w:rsidRPr="00C03A20">
        <w:rPr>
          <w:rFonts w:ascii="Times New Roman" w:eastAsia="Times New Roman" w:hAnsi="Times New Roman"/>
          <w:sz w:val="28"/>
          <w:szCs w:val="28"/>
          <w:lang w:val="sq-AL"/>
        </w:rPr>
        <w:lastRenderedPageBreak/>
        <w:t xml:space="preserve">ligjor. Funksionimi normal i arbitrazhit, si mënyrë për zgjidhjen e mosmarrëveshjeve, ndikon ndjeshëm në eficencën dhe efikasitetin e sistemit gjyqësor, duke vënë në zbatim parimin kushtetues sipas të cilit kushdo, për mbrojtjen e të drejtave, të lirive dhe interesave të tij kushtetuese dhe ligjore, ka të drejtën e një gjykimi të drejtë dhe publik brenda një afati të arsyeshëm nga një gjykatë e pavarur dhe e paanshme e caktuar me ligj (neni 42/2 i Kushtetutës). </w:t>
      </w:r>
    </w:p>
    <w:p w:rsidR="006C5A67" w:rsidRPr="00C03A20" w:rsidRDefault="006C5A67" w:rsidP="00C03A20">
      <w:pPr>
        <w:spacing w:after="0"/>
        <w:jc w:val="both"/>
        <w:rPr>
          <w:rFonts w:ascii="Times New Roman" w:hAnsi="Times New Roman"/>
          <w:color w:val="000000"/>
          <w:sz w:val="28"/>
          <w:szCs w:val="28"/>
          <w:lang w:val="sq-AL"/>
        </w:rPr>
      </w:pPr>
    </w:p>
    <w:p w:rsidR="00734A22" w:rsidRPr="00C03A20" w:rsidRDefault="008209E7" w:rsidP="00C03A20">
      <w:pPr>
        <w:pStyle w:val="ListParagraph"/>
        <w:spacing w:after="0"/>
        <w:ind w:hanging="720"/>
        <w:jc w:val="both"/>
        <w:rPr>
          <w:rFonts w:ascii="Times New Roman" w:hAnsi="Times New Roman"/>
          <w:b/>
          <w:sz w:val="28"/>
          <w:szCs w:val="28"/>
          <w:lang w:val="sq-AL"/>
        </w:rPr>
      </w:pPr>
      <w:r w:rsidRPr="00C03A20">
        <w:rPr>
          <w:rFonts w:ascii="Times New Roman" w:hAnsi="Times New Roman"/>
          <w:b/>
          <w:sz w:val="28"/>
          <w:szCs w:val="28"/>
          <w:lang w:val="sq-AL"/>
        </w:rPr>
        <w:t xml:space="preserve">V. </w:t>
      </w:r>
      <w:r w:rsidR="004C5EC6" w:rsidRPr="00C03A20">
        <w:rPr>
          <w:rFonts w:ascii="Times New Roman" w:hAnsi="Times New Roman"/>
          <w:b/>
          <w:sz w:val="28"/>
          <w:szCs w:val="28"/>
          <w:lang w:val="sq-AL"/>
        </w:rPr>
        <w:tab/>
      </w:r>
      <w:r w:rsidR="00734A22" w:rsidRPr="00C03A20">
        <w:rPr>
          <w:rFonts w:ascii="Times New Roman" w:hAnsi="Times New Roman"/>
          <w:b/>
          <w:sz w:val="28"/>
          <w:szCs w:val="28"/>
          <w:lang w:val="sq-AL"/>
        </w:rPr>
        <w:t xml:space="preserve">VLERËSIMI I SHKALLËS SË PËRAFRIMIT ME ACQUIS COMMUNAUTARE </w:t>
      </w:r>
    </w:p>
    <w:p w:rsidR="004C5EC6" w:rsidRPr="00C03A20" w:rsidRDefault="004C5EC6" w:rsidP="00C03A20">
      <w:pPr>
        <w:spacing w:after="0"/>
        <w:jc w:val="both"/>
        <w:rPr>
          <w:rFonts w:ascii="Times New Roman" w:eastAsia="Times New Roman" w:hAnsi="Times New Roman"/>
          <w:sz w:val="28"/>
          <w:szCs w:val="28"/>
          <w:lang w:val="sq-AL"/>
        </w:rPr>
      </w:pPr>
    </w:p>
    <w:p w:rsidR="00734A22" w:rsidRPr="00C03A20" w:rsidRDefault="0015002D" w:rsidP="00C03A20">
      <w:pPr>
        <w:spacing w:after="0"/>
        <w:jc w:val="both"/>
        <w:rPr>
          <w:rFonts w:ascii="Times New Roman" w:eastAsia="Times New Roman" w:hAnsi="Times New Roman"/>
          <w:sz w:val="28"/>
          <w:szCs w:val="28"/>
          <w:lang w:val="sq-AL"/>
        </w:rPr>
      </w:pPr>
      <w:r w:rsidRPr="00C03A20">
        <w:rPr>
          <w:rFonts w:ascii="Times New Roman" w:eastAsia="Times New Roman" w:hAnsi="Times New Roman"/>
          <w:sz w:val="28"/>
          <w:szCs w:val="28"/>
          <w:lang w:val="sq-AL"/>
        </w:rPr>
        <w:t>Miratimi i p</w:t>
      </w:r>
      <w:r w:rsidR="00734A22" w:rsidRPr="00C03A20">
        <w:rPr>
          <w:rFonts w:ascii="Times New Roman" w:eastAsia="Times New Roman" w:hAnsi="Times New Roman"/>
          <w:sz w:val="28"/>
          <w:szCs w:val="28"/>
          <w:lang w:val="sq-AL"/>
        </w:rPr>
        <w:t>rojektligji</w:t>
      </w:r>
      <w:r w:rsidRPr="00C03A20">
        <w:rPr>
          <w:rFonts w:ascii="Times New Roman" w:eastAsia="Times New Roman" w:hAnsi="Times New Roman"/>
          <w:sz w:val="28"/>
          <w:szCs w:val="28"/>
          <w:lang w:val="sq-AL"/>
        </w:rPr>
        <w:t xml:space="preserve">t </w:t>
      </w:r>
      <w:r w:rsidR="00C54C0C" w:rsidRPr="00C03A20">
        <w:rPr>
          <w:rFonts w:ascii="Times New Roman" w:eastAsia="Times New Roman" w:hAnsi="Times New Roman"/>
          <w:sz w:val="28"/>
          <w:szCs w:val="28"/>
          <w:lang w:val="sq-AL"/>
        </w:rPr>
        <w:t xml:space="preserve">nuk </w:t>
      </w:r>
      <w:r w:rsidRPr="00C03A20">
        <w:rPr>
          <w:rFonts w:ascii="Times New Roman" w:eastAsia="Times New Roman" w:hAnsi="Times New Roman"/>
          <w:sz w:val="28"/>
          <w:szCs w:val="28"/>
          <w:lang w:val="sq-AL"/>
        </w:rPr>
        <w:t xml:space="preserve">ka ndikim </w:t>
      </w:r>
      <w:r w:rsidR="00FF6E13" w:rsidRPr="00C03A20">
        <w:rPr>
          <w:rFonts w:ascii="Times New Roman" w:eastAsia="Times New Roman" w:hAnsi="Times New Roman"/>
          <w:sz w:val="28"/>
          <w:szCs w:val="28"/>
          <w:lang w:val="sq-AL"/>
        </w:rPr>
        <w:t>p</w:t>
      </w:r>
      <w:r w:rsidR="000D610D" w:rsidRPr="00C03A20">
        <w:rPr>
          <w:rFonts w:ascii="Times New Roman" w:eastAsia="Times New Roman" w:hAnsi="Times New Roman"/>
          <w:sz w:val="28"/>
          <w:szCs w:val="28"/>
          <w:lang w:val="sq-AL"/>
        </w:rPr>
        <w:t>ë</w:t>
      </w:r>
      <w:r w:rsidR="00FF6E13" w:rsidRPr="00C03A20">
        <w:rPr>
          <w:rFonts w:ascii="Times New Roman" w:eastAsia="Times New Roman" w:hAnsi="Times New Roman"/>
          <w:sz w:val="28"/>
          <w:szCs w:val="28"/>
          <w:lang w:val="sq-AL"/>
        </w:rPr>
        <w:t>rsa i p</w:t>
      </w:r>
      <w:r w:rsidR="000D610D" w:rsidRPr="00C03A20">
        <w:rPr>
          <w:rFonts w:ascii="Times New Roman" w:eastAsia="Times New Roman" w:hAnsi="Times New Roman"/>
          <w:sz w:val="28"/>
          <w:szCs w:val="28"/>
          <w:lang w:val="sq-AL"/>
        </w:rPr>
        <w:t>ë</w:t>
      </w:r>
      <w:r w:rsidR="00FF6E13" w:rsidRPr="00C03A20">
        <w:rPr>
          <w:rFonts w:ascii="Times New Roman" w:eastAsia="Times New Roman" w:hAnsi="Times New Roman"/>
          <w:sz w:val="28"/>
          <w:szCs w:val="28"/>
          <w:lang w:val="sq-AL"/>
        </w:rPr>
        <w:t>rket procesit t</w:t>
      </w:r>
      <w:r w:rsidR="000D610D" w:rsidRPr="00C03A20">
        <w:rPr>
          <w:rFonts w:ascii="Times New Roman" w:eastAsia="Times New Roman" w:hAnsi="Times New Roman"/>
          <w:sz w:val="28"/>
          <w:szCs w:val="28"/>
          <w:lang w:val="sq-AL"/>
        </w:rPr>
        <w:t>ë</w:t>
      </w:r>
      <w:r w:rsidR="00FF6E13" w:rsidRPr="00C03A20">
        <w:rPr>
          <w:rFonts w:ascii="Times New Roman" w:eastAsia="Times New Roman" w:hAnsi="Times New Roman"/>
          <w:sz w:val="28"/>
          <w:szCs w:val="28"/>
          <w:lang w:val="sq-AL"/>
        </w:rPr>
        <w:t xml:space="preserve"> </w:t>
      </w:r>
      <w:r w:rsidR="00C54C0C" w:rsidRPr="00C03A20">
        <w:rPr>
          <w:rFonts w:ascii="Times New Roman" w:eastAsia="Times New Roman" w:hAnsi="Times New Roman"/>
          <w:sz w:val="28"/>
          <w:szCs w:val="28"/>
          <w:lang w:val="sq-AL"/>
        </w:rPr>
        <w:t>përafr</w:t>
      </w:r>
      <w:r w:rsidR="00FF6E13" w:rsidRPr="00C03A20">
        <w:rPr>
          <w:rFonts w:ascii="Times New Roman" w:eastAsia="Times New Roman" w:hAnsi="Times New Roman"/>
          <w:sz w:val="28"/>
          <w:szCs w:val="28"/>
          <w:lang w:val="sq-AL"/>
        </w:rPr>
        <w:t>imit</w:t>
      </w:r>
      <w:r w:rsidR="00C54C0C" w:rsidRPr="00C03A20">
        <w:rPr>
          <w:rFonts w:ascii="Times New Roman" w:eastAsia="Times New Roman" w:hAnsi="Times New Roman"/>
          <w:sz w:val="28"/>
          <w:szCs w:val="28"/>
          <w:lang w:val="sq-AL"/>
        </w:rPr>
        <w:t xml:space="preserve"> </w:t>
      </w:r>
      <w:r w:rsidR="00FF6E13" w:rsidRPr="00C03A20">
        <w:rPr>
          <w:rFonts w:ascii="Times New Roman" w:eastAsia="Times New Roman" w:hAnsi="Times New Roman"/>
          <w:sz w:val="28"/>
          <w:szCs w:val="28"/>
          <w:lang w:val="sq-AL"/>
        </w:rPr>
        <w:t>t</w:t>
      </w:r>
      <w:r w:rsidR="000D610D" w:rsidRPr="00C03A20">
        <w:rPr>
          <w:rFonts w:ascii="Times New Roman" w:eastAsia="Times New Roman" w:hAnsi="Times New Roman"/>
          <w:sz w:val="28"/>
          <w:szCs w:val="28"/>
          <w:lang w:val="sq-AL"/>
        </w:rPr>
        <w:t>ë</w:t>
      </w:r>
      <w:r w:rsidR="00FF6E13" w:rsidRPr="00C03A20">
        <w:rPr>
          <w:rFonts w:ascii="Times New Roman" w:eastAsia="Times New Roman" w:hAnsi="Times New Roman"/>
          <w:sz w:val="28"/>
          <w:szCs w:val="28"/>
          <w:lang w:val="sq-AL"/>
        </w:rPr>
        <w:t xml:space="preserve"> </w:t>
      </w:r>
      <w:r w:rsidR="00C54C0C" w:rsidRPr="00C03A20">
        <w:rPr>
          <w:rFonts w:ascii="Times New Roman" w:eastAsia="Times New Roman" w:hAnsi="Times New Roman"/>
          <w:sz w:val="28"/>
          <w:szCs w:val="28"/>
          <w:lang w:val="sq-AL"/>
        </w:rPr>
        <w:t>legjislacioni</w:t>
      </w:r>
      <w:r w:rsidR="00FF6E13" w:rsidRPr="00C03A20">
        <w:rPr>
          <w:rFonts w:ascii="Times New Roman" w:eastAsia="Times New Roman" w:hAnsi="Times New Roman"/>
          <w:sz w:val="28"/>
          <w:szCs w:val="28"/>
          <w:lang w:val="sq-AL"/>
        </w:rPr>
        <w:t xml:space="preserve">t vendas me </w:t>
      </w:r>
      <w:r w:rsidR="00C54C0C" w:rsidRPr="00C03A20">
        <w:rPr>
          <w:rFonts w:ascii="Times New Roman" w:eastAsia="Times New Roman" w:hAnsi="Times New Roman"/>
          <w:sz w:val="28"/>
          <w:szCs w:val="28"/>
          <w:lang w:val="sq-AL"/>
        </w:rPr>
        <w:t>BE</w:t>
      </w:r>
      <w:r w:rsidR="00FF6E13" w:rsidRPr="00C03A20">
        <w:rPr>
          <w:rFonts w:ascii="Times New Roman" w:eastAsia="Times New Roman" w:hAnsi="Times New Roman"/>
          <w:sz w:val="28"/>
          <w:szCs w:val="28"/>
          <w:lang w:val="sq-AL"/>
        </w:rPr>
        <w:t xml:space="preserve"> duke q</w:t>
      </w:r>
      <w:r w:rsidR="009B66FB" w:rsidRPr="00C03A20">
        <w:rPr>
          <w:rFonts w:ascii="Times New Roman" w:eastAsia="Times New Roman" w:hAnsi="Times New Roman"/>
          <w:sz w:val="28"/>
          <w:szCs w:val="28"/>
          <w:lang w:val="sq-AL"/>
        </w:rPr>
        <w:t>e</w:t>
      </w:r>
      <w:r w:rsidR="00FF6E13" w:rsidRPr="00C03A20">
        <w:rPr>
          <w:rFonts w:ascii="Times New Roman" w:eastAsia="Times New Roman" w:hAnsi="Times New Roman"/>
          <w:sz w:val="28"/>
          <w:szCs w:val="28"/>
          <w:lang w:val="sq-AL"/>
        </w:rPr>
        <w:t>n</w:t>
      </w:r>
      <w:r w:rsidR="000D610D" w:rsidRPr="00C03A20">
        <w:rPr>
          <w:rFonts w:ascii="Times New Roman" w:eastAsia="Times New Roman" w:hAnsi="Times New Roman"/>
          <w:sz w:val="28"/>
          <w:szCs w:val="28"/>
          <w:lang w:val="sq-AL"/>
        </w:rPr>
        <w:t>ë</w:t>
      </w:r>
      <w:r w:rsidR="00FF6E13" w:rsidRPr="00C03A20">
        <w:rPr>
          <w:rFonts w:ascii="Times New Roman" w:eastAsia="Times New Roman" w:hAnsi="Times New Roman"/>
          <w:sz w:val="28"/>
          <w:szCs w:val="28"/>
          <w:lang w:val="sq-AL"/>
        </w:rPr>
        <w:t xml:space="preserve"> se nuk ekzistojn</w:t>
      </w:r>
      <w:r w:rsidR="000D610D" w:rsidRPr="00C03A20">
        <w:rPr>
          <w:rFonts w:ascii="Times New Roman" w:eastAsia="Times New Roman" w:hAnsi="Times New Roman"/>
          <w:sz w:val="28"/>
          <w:szCs w:val="28"/>
          <w:lang w:val="sq-AL"/>
        </w:rPr>
        <w:t>ë</w:t>
      </w:r>
      <w:r w:rsidR="00FF6E13" w:rsidRPr="00C03A20">
        <w:rPr>
          <w:rFonts w:ascii="Times New Roman" w:eastAsia="Times New Roman" w:hAnsi="Times New Roman"/>
          <w:sz w:val="28"/>
          <w:szCs w:val="28"/>
          <w:lang w:val="sq-AL"/>
        </w:rPr>
        <w:t xml:space="preserve"> norma t</w:t>
      </w:r>
      <w:r w:rsidR="000D610D" w:rsidRPr="00C03A20">
        <w:rPr>
          <w:rFonts w:ascii="Times New Roman" w:eastAsia="Times New Roman" w:hAnsi="Times New Roman"/>
          <w:sz w:val="28"/>
          <w:szCs w:val="28"/>
          <w:lang w:val="sq-AL"/>
        </w:rPr>
        <w:t>ë</w:t>
      </w:r>
      <w:r w:rsidR="00FF6E13" w:rsidRPr="00C03A20">
        <w:rPr>
          <w:rFonts w:ascii="Times New Roman" w:eastAsia="Times New Roman" w:hAnsi="Times New Roman"/>
          <w:sz w:val="28"/>
          <w:szCs w:val="28"/>
          <w:lang w:val="sq-AL"/>
        </w:rPr>
        <w:t xml:space="preserve"> </w:t>
      </w:r>
      <w:r w:rsidR="00FF6E13" w:rsidRPr="00C03A20">
        <w:rPr>
          <w:rFonts w:ascii="Times New Roman" w:eastAsia="Times New Roman" w:hAnsi="Times New Roman"/>
          <w:i/>
          <w:iCs/>
          <w:sz w:val="28"/>
          <w:szCs w:val="28"/>
          <w:lang w:val="sq-AL"/>
        </w:rPr>
        <w:t>acquis</w:t>
      </w:r>
      <w:r w:rsidR="00FF6E13" w:rsidRPr="00C03A20">
        <w:rPr>
          <w:rFonts w:ascii="Times New Roman" w:eastAsia="Times New Roman" w:hAnsi="Times New Roman"/>
          <w:sz w:val="28"/>
          <w:szCs w:val="28"/>
          <w:lang w:val="sq-AL"/>
        </w:rPr>
        <w:t xml:space="preserve"> (</w:t>
      </w:r>
      <w:r w:rsidR="00D11B60" w:rsidRPr="00C03A20">
        <w:rPr>
          <w:rFonts w:ascii="Times New Roman" w:eastAsia="Times New Roman" w:hAnsi="Times New Roman"/>
          <w:sz w:val="28"/>
          <w:szCs w:val="28"/>
          <w:lang w:val="sq-AL"/>
        </w:rPr>
        <w:t>të tilla si</w:t>
      </w:r>
      <w:r w:rsidR="00CE05C3" w:rsidRPr="00C03A20">
        <w:rPr>
          <w:rFonts w:ascii="Times New Roman" w:eastAsia="Times New Roman" w:hAnsi="Times New Roman"/>
          <w:sz w:val="28"/>
          <w:szCs w:val="28"/>
          <w:lang w:val="sq-AL"/>
        </w:rPr>
        <w:t xml:space="preserve"> Rregullore ose Direktiva</w:t>
      </w:r>
      <w:r w:rsidR="00FF6E13" w:rsidRPr="00C03A20">
        <w:rPr>
          <w:rFonts w:ascii="Times New Roman" w:eastAsia="Times New Roman" w:hAnsi="Times New Roman"/>
          <w:sz w:val="28"/>
          <w:szCs w:val="28"/>
          <w:lang w:val="sq-AL"/>
        </w:rPr>
        <w:t>)</w:t>
      </w:r>
      <w:r w:rsidR="00CE05C3" w:rsidRPr="00C03A20">
        <w:rPr>
          <w:rFonts w:ascii="Times New Roman" w:eastAsia="Times New Roman" w:hAnsi="Times New Roman"/>
          <w:sz w:val="28"/>
          <w:szCs w:val="28"/>
          <w:lang w:val="sq-AL"/>
        </w:rPr>
        <w:t xml:space="preserve"> t</w:t>
      </w:r>
      <w:r w:rsidR="000D610D" w:rsidRPr="00C03A20">
        <w:rPr>
          <w:rFonts w:ascii="Times New Roman" w:eastAsia="Times New Roman" w:hAnsi="Times New Roman"/>
          <w:sz w:val="28"/>
          <w:szCs w:val="28"/>
          <w:lang w:val="sq-AL"/>
        </w:rPr>
        <w:t>ë</w:t>
      </w:r>
      <w:r w:rsidR="00CE05C3" w:rsidRPr="00C03A20">
        <w:rPr>
          <w:rFonts w:ascii="Times New Roman" w:eastAsia="Times New Roman" w:hAnsi="Times New Roman"/>
          <w:sz w:val="28"/>
          <w:szCs w:val="28"/>
          <w:lang w:val="sq-AL"/>
        </w:rPr>
        <w:t xml:space="preserve"> cilat rregullojn</w:t>
      </w:r>
      <w:r w:rsidR="000D610D" w:rsidRPr="00C03A20">
        <w:rPr>
          <w:rFonts w:ascii="Times New Roman" w:eastAsia="Times New Roman" w:hAnsi="Times New Roman"/>
          <w:sz w:val="28"/>
          <w:szCs w:val="28"/>
          <w:lang w:val="sq-AL"/>
        </w:rPr>
        <w:t>ë</w:t>
      </w:r>
      <w:r w:rsidR="00CE05C3" w:rsidRPr="00C03A20">
        <w:rPr>
          <w:rFonts w:ascii="Times New Roman" w:eastAsia="Times New Roman" w:hAnsi="Times New Roman"/>
          <w:sz w:val="28"/>
          <w:szCs w:val="28"/>
          <w:lang w:val="sq-AL"/>
        </w:rPr>
        <w:t xml:space="preserve"> drejtp</w:t>
      </w:r>
      <w:r w:rsidR="000D610D" w:rsidRPr="00C03A20">
        <w:rPr>
          <w:rFonts w:ascii="Times New Roman" w:eastAsia="Times New Roman" w:hAnsi="Times New Roman"/>
          <w:sz w:val="28"/>
          <w:szCs w:val="28"/>
          <w:lang w:val="sq-AL"/>
        </w:rPr>
        <w:t>ë</w:t>
      </w:r>
      <w:r w:rsidR="00CE05C3" w:rsidRPr="00C03A20">
        <w:rPr>
          <w:rFonts w:ascii="Times New Roman" w:eastAsia="Times New Roman" w:hAnsi="Times New Roman"/>
          <w:sz w:val="28"/>
          <w:szCs w:val="28"/>
          <w:lang w:val="sq-AL"/>
        </w:rPr>
        <w:t>rdrejt</w:t>
      </w:r>
      <w:r w:rsidR="000D610D" w:rsidRPr="00C03A20">
        <w:rPr>
          <w:rFonts w:ascii="Times New Roman" w:eastAsia="Times New Roman" w:hAnsi="Times New Roman"/>
          <w:sz w:val="28"/>
          <w:szCs w:val="28"/>
          <w:lang w:val="sq-AL"/>
        </w:rPr>
        <w:t>ë</w:t>
      </w:r>
      <w:r w:rsidR="00CE05C3" w:rsidRPr="00C03A20">
        <w:rPr>
          <w:rFonts w:ascii="Times New Roman" w:eastAsia="Times New Roman" w:hAnsi="Times New Roman"/>
          <w:sz w:val="28"/>
          <w:szCs w:val="28"/>
          <w:lang w:val="sq-AL"/>
        </w:rPr>
        <w:t xml:space="preserve"> ç</w:t>
      </w:r>
      <w:r w:rsidR="000D610D" w:rsidRPr="00C03A20">
        <w:rPr>
          <w:rFonts w:ascii="Times New Roman" w:eastAsia="Times New Roman" w:hAnsi="Times New Roman"/>
          <w:sz w:val="28"/>
          <w:szCs w:val="28"/>
          <w:lang w:val="sq-AL"/>
        </w:rPr>
        <w:t>ë</w:t>
      </w:r>
      <w:r w:rsidR="00CE05C3" w:rsidRPr="00C03A20">
        <w:rPr>
          <w:rFonts w:ascii="Times New Roman" w:eastAsia="Times New Roman" w:hAnsi="Times New Roman"/>
          <w:sz w:val="28"/>
          <w:szCs w:val="28"/>
          <w:lang w:val="sq-AL"/>
        </w:rPr>
        <w:t xml:space="preserve">shtjet e arbitrazhit </w:t>
      </w:r>
      <w:r w:rsidR="00C95364" w:rsidRPr="00C03A20">
        <w:rPr>
          <w:rFonts w:ascii="Times New Roman" w:eastAsia="Times New Roman" w:hAnsi="Times New Roman"/>
          <w:sz w:val="28"/>
          <w:szCs w:val="28"/>
          <w:lang w:val="sq-AL"/>
        </w:rPr>
        <w:t>n</w:t>
      </w:r>
      <w:r w:rsidR="000D610D" w:rsidRPr="00C03A20">
        <w:rPr>
          <w:rFonts w:ascii="Times New Roman" w:eastAsia="Times New Roman" w:hAnsi="Times New Roman"/>
          <w:sz w:val="28"/>
          <w:szCs w:val="28"/>
          <w:lang w:val="sq-AL"/>
        </w:rPr>
        <w:t>ë</w:t>
      </w:r>
      <w:r w:rsidR="00C95364" w:rsidRPr="00C03A20">
        <w:rPr>
          <w:rFonts w:ascii="Times New Roman" w:eastAsia="Times New Roman" w:hAnsi="Times New Roman"/>
          <w:sz w:val="28"/>
          <w:szCs w:val="28"/>
          <w:lang w:val="sq-AL"/>
        </w:rPr>
        <w:t xml:space="preserve"> vendet an</w:t>
      </w:r>
      <w:r w:rsidR="000D610D" w:rsidRPr="00C03A20">
        <w:rPr>
          <w:rFonts w:ascii="Times New Roman" w:eastAsia="Times New Roman" w:hAnsi="Times New Roman"/>
          <w:sz w:val="28"/>
          <w:szCs w:val="28"/>
          <w:lang w:val="sq-AL"/>
        </w:rPr>
        <w:t>ë</w:t>
      </w:r>
      <w:r w:rsidR="00C95364" w:rsidRPr="00C03A20">
        <w:rPr>
          <w:rFonts w:ascii="Times New Roman" w:eastAsia="Times New Roman" w:hAnsi="Times New Roman"/>
          <w:sz w:val="28"/>
          <w:szCs w:val="28"/>
          <w:lang w:val="sq-AL"/>
        </w:rPr>
        <w:t>tare t</w:t>
      </w:r>
      <w:r w:rsidR="000D610D" w:rsidRPr="00C03A20">
        <w:rPr>
          <w:rFonts w:ascii="Times New Roman" w:eastAsia="Times New Roman" w:hAnsi="Times New Roman"/>
          <w:sz w:val="28"/>
          <w:szCs w:val="28"/>
          <w:lang w:val="sq-AL"/>
        </w:rPr>
        <w:t>ë</w:t>
      </w:r>
      <w:r w:rsidR="00C95364" w:rsidRPr="00C03A20">
        <w:rPr>
          <w:rFonts w:ascii="Times New Roman" w:eastAsia="Times New Roman" w:hAnsi="Times New Roman"/>
          <w:sz w:val="28"/>
          <w:szCs w:val="28"/>
          <w:lang w:val="sq-AL"/>
        </w:rPr>
        <w:t xml:space="preserve"> Bashkimit Europ</w:t>
      </w:r>
      <w:r w:rsidR="006360AF" w:rsidRPr="00C03A20">
        <w:rPr>
          <w:rFonts w:ascii="Times New Roman" w:eastAsia="Times New Roman" w:hAnsi="Times New Roman"/>
          <w:sz w:val="28"/>
          <w:szCs w:val="28"/>
          <w:lang w:val="sq-AL"/>
        </w:rPr>
        <w:t>ian</w:t>
      </w:r>
      <w:r w:rsidR="00C54C0C" w:rsidRPr="00C03A20">
        <w:rPr>
          <w:rFonts w:ascii="Times New Roman" w:eastAsia="Times New Roman" w:hAnsi="Times New Roman"/>
          <w:sz w:val="28"/>
          <w:szCs w:val="28"/>
          <w:lang w:val="sq-AL"/>
        </w:rPr>
        <w:t>.</w:t>
      </w:r>
    </w:p>
    <w:p w:rsidR="0026062D" w:rsidRPr="00C03A20" w:rsidRDefault="0026062D" w:rsidP="00C03A20">
      <w:pPr>
        <w:pStyle w:val="ListParagraph"/>
        <w:spacing w:after="0"/>
        <w:ind w:hanging="720"/>
        <w:jc w:val="both"/>
        <w:rPr>
          <w:rFonts w:ascii="Times New Roman" w:eastAsia="Times New Roman" w:hAnsi="Times New Roman"/>
          <w:sz w:val="28"/>
          <w:szCs w:val="28"/>
          <w:lang w:val="sq-AL"/>
        </w:rPr>
      </w:pPr>
    </w:p>
    <w:p w:rsidR="00734A22" w:rsidRPr="00C03A20" w:rsidRDefault="008209E7" w:rsidP="00C03A20">
      <w:pPr>
        <w:pStyle w:val="ListParagraph"/>
        <w:spacing w:after="0"/>
        <w:ind w:hanging="720"/>
        <w:jc w:val="both"/>
        <w:rPr>
          <w:rFonts w:ascii="Times New Roman" w:hAnsi="Times New Roman"/>
          <w:b/>
          <w:sz w:val="28"/>
          <w:szCs w:val="28"/>
          <w:lang w:val="sq-AL"/>
        </w:rPr>
      </w:pPr>
      <w:r w:rsidRPr="00C03A20">
        <w:rPr>
          <w:rFonts w:ascii="Times New Roman" w:hAnsi="Times New Roman"/>
          <w:b/>
          <w:sz w:val="28"/>
          <w:szCs w:val="28"/>
          <w:lang w:val="sq-AL"/>
        </w:rPr>
        <w:t>VI.</w:t>
      </w:r>
      <w:r w:rsidR="004C5EC6" w:rsidRPr="00C03A20">
        <w:rPr>
          <w:rFonts w:ascii="Times New Roman" w:hAnsi="Times New Roman"/>
          <w:b/>
          <w:sz w:val="28"/>
          <w:szCs w:val="28"/>
          <w:lang w:val="sq-AL"/>
        </w:rPr>
        <w:tab/>
      </w:r>
      <w:r w:rsidR="00734A22" w:rsidRPr="00C03A20">
        <w:rPr>
          <w:rFonts w:ascii="Times New Roman" w:hAnsi="Times New Roman"/>
          <w:b/>
          <w:sz w:val="28"/>
          <w:szCs w:val="28"/>
          <w:lang w:val="sq-AL"/>
        </w:rPr>
        <w:t>PËRMBLEDHJE SHPJEGUESE E PËRMBAJTJES SË PROJEKTLIGJIT</w:t>
      </w:r>
    </w:p>
    <w:p w:rsidR="00674AF1" w:rsidRPr="00C03A20" w:rsidRDefault="00674AF1" w:rsidP="00C03A20">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p>
    <w:p w:rsidR="00674AF1" w:rsidRPr="00C03A20" w:rsidRDefault="00674AF1" w:rsidP="00C03A20">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r w:rsidRPr="00C03A20">
        <w:rPr>
          <w:rFonts w:ascii="Times New Roman" w:eastAsia="MS Mincho" w:hAnsi="Times New Roman"/>
          <w:sz w:val="28"/>
          <w:szCs w:val="28"/>
          <w:lang w:val="sq-AL" w:eastAsia="el-GR"/>
        </w:rPr>
        <w:t>Projektligji rregullon arbitrazhin vendas dhe ndërkombëtar, bazuar kryesisht në modelin e ligjit për arbitrazhin ndërkombëtar të UNCITRAL (Komisioni i Kombeve të Bashkuara për të Drejtën Ndërkombëtare Tregtare).</w:t>
      </w:r>
    </w:p>
    <w:p w:rsidR="00674AF1" w:rsidRPr="00C03A20" w:rsidRDefault="00674AF1" w:rsidP="00C03A20">
      <w:pPr>
        <w:spacing w:after="0"/>
        <w:jc w:val="both"/>
        <w:rPr>
          <w:rFonts w:ascii="Times New Roman" w:hAnsi="Times New Roman"/>
          <w:spacing w:val="-4"/>
          <w:sz w:val="28"/>
          <w:szCs w:val="28"/>
          <w:lang w:val="sq-AL"/>
        </w:rPr>
      </w:pPr>
    </w:p>
    <w:p w:rsidR="00C03A70" w:rsidRPr="00C03A20" w:rsidRDefault="00C03A70"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 xml:space="preserve">Projektligji i propozuar është i strukturuar në </w:t>
      </w:r>
      <w:r w:rsidR="00A16F9F" w:rsidRPr="00C03A20">
        <w:rPr>
          <w:rFonts w:ascii="Times New Roman" w:hAnsi="Times New Roman"/>
          <w:spacing w:val="-4"/>
          <w:sz w:val="28"/>
          <w:szCs w:val="28"/>
          <w:lang w:val="sq-AL"/>
        </w:rPr>
        <w:t xml:space="preserve">8 </w:t>
      </w:r>
      <w:r w:rsidRPr="00C03A20">
        <w:rPr>
          <w:rFonts w:ascii="Times New Roman" w:hAnsi="Times New Roman"/>
          <w:spacing w:val="-4"/>
          <w:sz w:val="28"/>
          <w:szCs w:val="28"/>
          <w:lang w:val="sq-AL"/>
        </w:rPr>
        <w:t xml:space="preserve">krerë dhe përbëhet nga </w:t>
      </w:r>
      <w:r w:rsidR="00DC65BA" w:rsidRPr="00C03A20">
        <w:rPr>
          <w:rFonts w:ascii="Times New Roman" w:hAnsi="Times New Roman"/>
          <w:spacing w:val="-4"/>
          <w:sz w:val="28"/>
          <w:szCs w:val="28"/>
          <w:lang w:val="sq-AL"/>
        </w:rPr>
        <w:t>5</w:t>
      </w:r>
      <w:r w:rsidR="00A16F9F" w:rsidRPr="00C03A20">
        <w:rPr>
          <w:rFonts w:ascii="Times New Roman" w:hAnsi="Times New Roman"/>
          <w:spacing w:val="-4"/>
          <w:sz w:val="28"/>
          <w:szCs w:val="28"/>
          <w:lang w:val="sq-AL"/>
        </w:rPr>
        <w:t>5</w:t>
      </w:r>
      <w:r w:rsidRPr="00C03A20">
        <w:rPr>
          <w:rFonts w:ascii="Times New Roman" w:hAnsi="Times New Roman"/>
          <w:spacing w:val="-4"/>
          <w:sz w:val="28"/>
          <w:szCs w:val="28"/>
          <w:lang w:val="sq-AL"/>
        </w:rPr>
        <w:t xml:space="preserve"> nene.</w:t>
      </w:r>
    </w:p>
    <w:p w:rsidR="00C03A70" w:rsidRPr="00C03A20" w:rsidRDefault="00C03A70" w:rsidP="00C03A20">
      <w:pPr>
        <w:spacing w:after="0"/>
        <w:jc w:val="both"/>
        <w:rPr>
          <w:rFonts w:ascii="Times New Roman" w:hAnsi="Times New Roman"/>
          <w:spacing w:val="-4"/>
          <w:sz w:val="28"/>
          <w:szCs w:val="28"/>
          <w:lang w:val="sq-AL"/>
        </w:rPr>
      </w:pPr>
    </w:p>
    <w:p w:rsidR="00D0596F" w:rsidRPr="00C03A20" w:rsidRDefault="00D0596F" w:rsidP="00C03A20">
      <w:pPr>
        <w:spacing w:after="0"/>
        <w:jc w:val="both"/>
        <w:rPr>
          <w:rFonts w:ascii="Times New Roman" w:hAnsi="Times New Roman"/>
          <w:sz w:val="28"/>
          <w:szCs w:val="28"/>
          <w:lang w:val="sq-AL"/>
        </w:rPr>
      </w:pPr>
      <w:r w:rsidRPr="00C03A20">
        <w:rPr>
          <w:rFonts w:ascii="Times New Roman" w:hAnsi="Times New Roman"/>
          <w:b/>
          <w:sz w:val="28"/>
          <w:szCs w:val="28"/>
          <w:lang w:val="sq-AL"/>
        </w:rPr>
        <w:t xml:space="preserve">KREU I </w:t>
      </w:r>
      <w:r w:rsidRPr="00C03A20">
        <w:rPr>
          <w:rFonts w:ascii="Times New Roman" w:hAnsi="Times New Roman"/>
          <w:sz w:val="28"/>
          <w:szCs w:val="28"/>
          <w:lang w:val="sq-AL"/>
        </w:rPr>
        <w:t>“</w:t>
      </w:r>
      <w:r w:rsidRPr="00C03A20">
        <w:rPr>
          <w:rFonts w:ascii="Times New Roman" w:hAnsi="Times New Roman"/>
          <w:i/>
          <w:sz w:val="28"/>
          <w:szCs w:val="28"/>
          <w:lang w:val="sq-AL"/>
        </w:rPr>
        <w:t>Dispozita të përgjithshme</w:t>
      </w:r>
      <w:r w:rsidRPr="00C03A20">
        <w:rPr>
          <w:rFonts w:ascii="Times New Roman" w:hAnsi="Times New Roman"/>
          <w:sz w:val="28"/>
          <w:szCs w:val="28"/>
          <w:lang w:val="sq-AL"/>
        </w:rPr>
        <w:t>” përcakton dispozitat e përgjithshme që përfshijnë objektin e qëllimin e ligjit, si dhe përkufizim</w:t>
      </w:r>
      <w:r w:rsidR="00F7655E" w:rsidRPr="00C03A20">
        <w:rPr>
          <w:rFonts w:ascii="Times New Roman" w:hAnsi="Times New Roman"/>
          <w:sz w:val="28"/>
          <w:szCs w:val="28"/>
          <w:lang w:val="sq-AL"/>
        </w:rPr>
        <w:t xml:space="preserve">et e </w:t>
      </w:r>
      <w:r w:rsidR="00BA6788" w:rsidRPr="00C03A20">
        <w:rPr>
          <w:rFonts w:ascii="Times New Roman" w:hAnsi="Times New Roman"/>
          <w:sz w:val="28"/>
          <w:szCs w:val="28"/>
          <w:lang w:val="sq-AL"/>
        </w:rPr>
        <w:t>p</w:t>
      </w:r>
      <w:r w:rsidR="0096783F" w:rsidRPr="00C03A20">
        <w:rPr>
          <w:rFonts w:ascii="Times New Roman" w:hAnsi="Times New Roman"/>
          <w:sz w:val="28"/>
          <w:szCs w:val="28"/>
          <w:lang w:val="sq-AL"/>
        </w:rPr>
        <w:t>ë</w:t>
      </w:r>
      <w:r w:rsidR="00BA6788" w:rsidRPr="00C03A20">
        <w:rPr>
          <w:rFonts w:ascii="Times New Roman" w:hAnsi="Times New Roman"/>
          <w:sz w:val="28"/>
          <w:szCs w:val="28"/>
          <w:lang w:val="sq-AL"/>
        </w:rPr>
        <w:t>rdorura n</w:t>
      </w:r>
      <w:r w:rsidR="0096783F" w:rsidRPr="00C03A20">
        <w:rPr>
          <w:rFonts w:ascii="Times New Roman" w:hAnsi="Times New Roman"/>
          <w:sz w:val="28"/>
          <w:szCs w:val="28"/>
          <w:lang w:val="sq-AL"/>
        </w:rPr>
        <w:t>ë</w:t>
      </w:r>
      <w:r w:rsidR="00BA6788" w:rsidRPr="00C03A20">
        <w:rPr>
          <w:rFonts w:ascii="Times New Roman" w:hAnsi="Times New Roman"/>
          <w:sz w:val="28"/>
          <w:szCs w:val="28"/>
          <w:lang w:val="sq-AL"/>
        </w:rPr>
        <w:t xml:space="preserve"> projektligj</w:t>
      </w:r>
      <w:r w:rsidR="00F73E7A" w:rsidRPr="00C03A20">
        <w:rPr>
          <w:rFonts w:ascii="Times New Roman" w:hAnsi="Times New Roman"/>
          <w:sz w:val="28"/>
          <w:szCs w:val="28"/>
          <w:lang w:val="sq-AL"/>
        </w:rPr>
        <w:t>, ku vlen t</w:t>
      </w:r>
      <w:r w:rsidR="0096783F" w:rsidRPr="00C03A20">
        <w:rPr>
          <w:rFonts w:ascii="Times New Roman" w:hAnsi="Times New Roman"/>
          <w:sz w:val="28"/>
          <w:szCs w:val="28"/>
          <w:lang w:val="sq-AL"/>
        </w:rPr>
        <w:t>ë</w:t>
      </w:r>
      <w:r w:rsidR="00F73E7A" w:rsidRPr="00C03A20">
        <w:rPr>
          <w:rFonts w:ascii="Times New Roman" w:hAnsi="Times New Roman"/>
          <w:sz w:val="28"/>
          <w:szCs w:val="28"/>
          <w:lang w:val="sq-AL"/>
        </w:rPr>
        <w:t xml:space="preserve"> p</w:t>
      </w:r>
      <w:r w:rsidR="0096783F" w:rsidRPr="00C03A20">
        <w:rPr>
          <w:rFonts w:ascii="Times New Roman" w:hAnsi="Times New Roman"/>
          <w:sz w:val="28"/>
          <w:szCs w:val="28"/>
          <w:lang w:val="sq-AL"/>
        </w:rPr>
        <w:t>ë</w:t>
      </w:r>
      <w:r w:rsidR="00F73E7A" w:rsidRPr="00C03A20">
        <w:rPr>
          <w:rFonts w:ascii="Times New Roman" w:hAnsi="Times New Roman"/>
          <w:sz w:val="28"/>
          <w:szCs w:val="28"/>
          <w:lang w:val="sq-AL"/>
        </w:rPr>
        <w:t xml:space="preserve">rmendet </w:t>
      </w:r>
      <w:r w:rsidR="006C71B8" w:rsidRPr="00C03A20">
        <w:rPr>
          <w:rFonts w:ascii="Times New Roman" w:hAnsi="Times New Roman"/>
          <w:sz w:val="28"/>
          <w:szCs w:val="28"/>
          <w:lang w:val="sq-AL"/>
        </w:rPr>
        <w:t>p</w:t>
      </w:r>
      <w:r w:rsidR="0096783F" w:rsidRPr="00C03A20">
        <w:rPr>
          <w:rFonts w:ascii="Times New Roman" w:hAnsi="Times New Roman"/>
          <w:sz w:val="28"/>
          <w:szCs w:val="28"/>
          <w:lang w:val="sq-AL"/>
        </w:rPr>
        <w:t>ë</w:t>
      </w:r>
      <w:r w:rsidR="006C71B8" w:rsidRPr="00C03A20">
        <w:rPr>
          <w:rFonts w:ascii="Times New Roman" w:hAnsi="Times New Roman"/>
          <w:sz w:val="28"/>
          <w:szCs w:val="28"/>
          <w:lang w:val="sq-AL"/>
        </w:rPr>
        <w:t xml:space="preserve">rkufizimi i termit “arbitrazh” </w:t>
      </w:r>
      <w:r w:rsidR="00FD6EAE" w:rsidRPr="00C03A20">
        <w:rPr>
          <w:rFonts w:ascii="Times New Roman" w:hAnsi="Times New Roman"/>
          <w:sz w:val="28"/>
          <w:szCs w:val="28"/>
          <w:lang w:val="sq-AL"/>
        </w:rPr>
        <w:t>si dhe diferencimi nd</w:t>
      </w:r>
      <w:r w:rsidR="0096783F" w:rsidRPr="00C03A20">
        <w:rPr>
          <w:rFonts w:ascii="Times New Roman" w:hAnsi="Times New Roman"/>
          <w:sz w:val="28"/>
          <w:szCs w:val="28"/>
          <w:lang w:val="sq-AL"/>
        </w:rPr>
        <w:t>ë</w:t>
      </w:r>
      <w:r w:rsidR="00FD6EAE" w:rsidRPr="00C03A20">
        <w:rPr>
          <w:rFonts w:ascii="Times New Roman" w:hAnsi="Times New Roman"/>
          <w:sz w:val="28"/>
          <w:szCs w:val="28"/>
          <w:lang w:val="sq-AL"/>
        </w:rPr>
        <w:t xml:space="preserve">rmjet </w:t>
      </w:r>
      <w:r w:rsidR="00FA4981" w:rsidRPr="00C03A20">
        <w:rPr>
          <w:rFonts w:ascii="Times New Roman" w:hAnsi="Times New Roman"/>
          <w:sz w:val="28"/>
          <w:szCs w:val="28"/>
          <w:lang w:val="sq-AL"/>
        </w:rPr>
        <w:t>“arbitrazhit vendas”, q</w:t>
      </w:r>
      <w:r w:rsidR="0096783F" w:rsidRPr="00C03A20">
        <w:rPr>
          <w:rFonts w:ascii="Times New Roman" w:hAnsi="Times New Roman"/>
          <w:sz w:val="28"/>
          <w:szCs w:val="28"/>
          <w:lang w:val="sq-AL"/>
        </w:rPr>
        <w:t>ë</w:t>
      </w:r>
      <w:r w:rsidR="00FA4981" w:rsidRPr="00C03A20">
        <w:rPr>
          <w:rFonts w:ascii="Times New Roman" w:hAnsi="Times New Roman"/>
          <w:sz w:val="28"/>
          <w:szCs w:val="28"/>
          <w:lang w:val="sq-AL"/>
        </w:rPr>
        <w:t xml:space="preserve"> </w:t>
      </w:r>
      <w:r w:rsidR="007F273D" w:rsidRPr="00C03A20">
        <w:rPr>
          <w:rFonts w:ascii="Times New Roman" w:hAnsi="Times New Roman"/>
          <w:sz w:val="28"/>
          <w:szCs w:val="28"/>
          <w:lang w:val="sq-AL"/>
        </w:rPr>
        <w:t>p</w:t>
      </w:r>
      <w:r w:rsidR="0096783F" w:rsidRPr="00C03A20">
        <w:rPr>
          <w:rFonts w:ascii="Times New Roman" w:hAnsi="Times New Roman"/>
          <w:sz w:val="28"/>
          <w:szCs w:val="28"/>
          <w:lang w:val="sq-AL"/>
        </w:rPr>
        <w:t>ë</w:t>
      </w:r>
      <w:r w:rsidR="007F273D" w:rsidRPr="00C03A20">
        <w:rPr>
          <w:rFonts w:ascii="Times New Roman" w:hAnsi="Times New Roman"/>
          <w:sz w:val="28"/>
          <w:szCs w:val="28"/>
          <w:lang w:val="sq-AL"/>
        </w:rPr>
        <w:t>r</w:t>
      </w:r>
      <w:r w:rsidR="004521B8" w:rsidRPr="00C03A20">
        <w:rPr>
          <w:rFonts w:ascii="Times New Roman" w:hAnsi="Times New Roman"/>
          <w:sz w:val="28"/>
          <w:szCs w:val="28"/>
          <w:lang w:val="sq-AL"/>
        </w:rPr>
        <w:t>fshin z</w:t>
      </w:r>
      <w:r w:rsidR="007B2D78" w:rsidRPr="00C03A20">
        <w:rPr>
          <w:rFonts w:ascii="Times New Roman" w:hAnsi="Times New Roman"/>
          <w:sz w:val="28"/>
          <w:szCs w:val="28"/>
          <w:lang w:val="sq-AL"/>
        </w:rPr>
        <w:t>gjidhjen e mosmarr</w:t>
      </w:r>
      <w:r w:rsidR="0096783F" w:rsidRPr="00C03A20">
        <w:rPr>
          <w:rFonts w:ascii="Times New Roman" w:hAnsi="Times New Roman"/>
          <w:sz w:val="28"/>
          <w:szCs w:val="28"/>
          <w:lang w:val="sq-AL"/>
        </w:rPr>
        <w:t>ë</w:t>
      </w:r>
      <w:r w:rsidR="007B2D78" w:rsidRPr="00C03A20">
        <w:rPr>
          <w:rFonts w:ascii="Times New Roman" w:hAnsi="Times New Roman"/>
          <w:sz w:val="28"/>
          <w:szCs w:val="28"/>
          <w:lang w:val="sq-AL"/>
        </w:rPr>
        <w:t>veshje</w:t>
      </w:r>
      <w:r w:rsidR="0071269B" w:rsidRPr="00C03A20">
        <w:rPr>
          <w:rFonts w:ascii="Times New Roman" w:hAnsi="Times New Roman"/>
          <w:sz w:val="28"/>
          <w:szCs w:val="28"/>
          <w:lang w:val="sq-AL"/>
        </w:rPr>
        <w:t>ve</w:t>
      </w:r>
      <w:r w:rsidR="007B2D78" w:rsidRPr="00C03A20">
        <w:rPr>
          <w:rFonts w:ascii="Times New Roman" w:hAnsi="Times New Roman"/>
          <w:sz w:val="28"/>
          <w:szCs w:val="28"/>
          <w:lang w:val="sq-AL"/>
        </w:rPr>
        <w:t xml:space="preserve"> </w:t>
      </w:r>
      <w:r w:rsidR="00FB2E5D" w:rsidRPr="00C03A20">
        <w:rPr>
          <w:rFonts w:ascii="Times New Roman" w:hAnsi="Times New Roman"/>
          <w:sz w:val="28"/>
          <w:szCs w:val="28"/>
          <w:lang w:val="sq-AL"/>
        </w:rPr>
        <w:t>nd</w:t>
      </w:r>
      <w:r w:rsidR="0096783F" w:rsidRPr="00C03A20">
        <w:rPr>
          <w:rFonts w:ascii="Times New Roman" w:hAnsi="Times New Roman"/>
          <w:sz w:val="28"/>
          <w:szCs w:val="28"/>
          <w:lang w:val="sq-AL"/>
        </w:rPr>
        <w:t>ë</w:t>
      </w:r>
      <w:r w:rsidR="00FB2E5D" w:rsidRPr="00C03A20">
        <w:rPr>
          <w:rFonts w:ascii="Times New Roman" w:hAnsi="Times New Roman"/>
          <w:sz w:val="28"/>
          <w:szCs w:val="28"/>
          <w:lang w:val="sq-AL"/>
        </w:rPr>
        <w:t>rmjet dy pal</w:t>
      </w:r>
      <w:r w:rsidR="0096783F" w:rsidRPr="00C03A20">
        <w:rPr>
          <w:rFonts w:ascii="Times New Roman" w:hAnsi="Times New Roman"/>
          <w:sz w:val="28"/>
          <w:szCs w:val="28"/>
          <w:lang w:val="sq-AL"/>
        </w:rPr>
        <w:t>ë</w:t>
      </w:r>
      <w:r w:rsidR="00FB2E5D" w:rsidRPr="00C03A20">
        <w:rPr>
          <w:rFonts w:ascii="Times New Roman" w:hAnsi="Times New Roman"/>
          <w:sz w:val="28"/>
          <w:szCs w:val="28"/>
          <w:lang w:val="sq-AL"/>
        </w:rPr>
        <w:t>ve</w:t>
      </w:r>
      <w:r w:rsidR="00E252E7" w:rsidRPr="00C03A20">
        <w:rPr>
          <w:rFonts w:ascii="Times New Roman" w:hAnsi="Times New Roman"/>
          <w:sz w:val="28"/>
          <w:szCs w:val="28"/>
          <w:lang w:val="sq-AL"/>
        </w:rPr>
        <w:t xml:space="preserve"> vendase</w:t>
      </w:r>
      <w:r w:rsidR="00FD435E" w:rsidRPr="00C03A20">
        <w:rPr>
          <w:rFonts w:ascii="Times New Roman" w:hAnsi="Times New Roman"/>
          <w:sz w:val="28"/>
          <w:szCs w:val="28"/>
          <w:lang w:val="sq-AL"/>
        </w:rPr>
        <w:t>,</w:t>
      </w:r>
      <w:r w:rsidR="00FA4981" w:rsidRPr="00C03A20">
        <w:rPr>
          <w:rFonts w:ascii="Times New Roman" w:hAnsi="Times New Roman"/>
          <w:sz w:val="28"/>
          <w:szCs w:val="28"/>
          <w:lang w:val="sq-AL"/>
        </w:rPr>
        <w:t xml:space="preserve"> dhe “arbitrazhit nd</w:t>
      </w:r>
      <w:r w:rsidR="0096783F" w:rsidRPr="00C03A20">
        <w:rPr>
          <w:rFonts w:ascii="Times New Roman" w:hAnsi="Times New Roman"/>
          <w:sz w:val="28"/>
          <w:szCs w:val="28"/>
          <w:lang w:val="sq-AL"/>
        </w:rPr>
        <w:t>ë</w:t>
      </w:r>
      <w:r w:rsidR="00FA4981" w:rsidRPr="00C03A20">
        <w:rPr>
          <w:rFonts w:ascii="Times New Roman" w:hAnsi="Times New Roman"/>
          <w:sz w:val="28"/>
          <w:szCs w:val="28"/>
          <w:lang w:val="sq-AL"/>
        </w:rPr>
        <w:t>rkomb</w:t>
      </w:r>
      <w:r w:rsidR="0096783F" w:rsidRPr="00C03A20">
        <w:rPr>
          <w:rFonts w:ascii="Times New Roman" w:hAnsi="Times New Roman"/>
          <w:sz w:val="28"/>
          <w:szCs w:val="28"/>
          <w:lang w:val="sq-AL"/>
        </w:rPr>
        <w:t>ë</w:t>
      </w:r>
      <w:r w:rsidR="00FA4981" w:rsidRPr="00C03A20">
        <w:rPr>
          <w:rFonts w:ascii="Times New Roman" w:hAnsi="Times New Roman"/>
          <w:sz w:val="28"/>
          <w:szCs w:val="28"/>
          <w:lang w:val="sq-AL"/>
        </w:rPr>
        <w:t>tar”</w:t>
      </w:r>
      <w:r w:rsidR="00F81D4B" w:rsidRPr="00C03A20">
        <w:rPr>
          <w:rFonts w:ascii="Times New Roman" w:hAnsi="Times New Roman"/>
          <w:sz w:val="28"/>
          <w:szCs w:val="28"/>
          <w:lang w:val="sq-AL"/>
        </w:rPr>
        <w:t>, q</w:t>
      </w:r>
      <w:r w:rsidR="0096783F" w:rsidRPr="00C03A20">
        <w:rPr>
          <w:rFonts w:ascii="Times New Roman" w:hAnsi="Times New Roman"/>
          <w:sz w:val="28"/>
          <w:szCs w:val="28"/>
          <w:lang w:val="sq-AL"/>
        </w:rPr>
        <w:t>ë</w:t>
      </w:r>
      <w:r w:rsidR="00F81D4B" w:rsidRPr="00C03A20">
        <w:rPr>
          <w:rFonts w:ascii="Times New Roman" w:hAnsi="Times New Roman"/>
          <w:sz w:val="28"/>
          <w:szCs w:val="28"/>
          <w:lang w:val="sq-AL"/>
        </w:rPr>
        <w:t xml:space="preserve"> p</w:t>
      </w:r>
      <w:r w:rsidR="0096783F" w:rsidRPr="00C03A20">
        <w:rPr>
          <w:rFonts w:ascii="Times New Roman" w:hAnsi="Times New Roman"/>
          <w:sz w:val="28"/>
          <w:szCs w:val="28"/>
          <w:lang w:val="sq-AL"/>
        </w:rPr>
        <w:t>ë</w:t>
      </w:r>
      <w:r w:rsidR="00F81D4B" w:rsidRPr="00C03A20">
        <w:rPr>
          <w:rFonts w:ascii="Times New Roman" w:hAnsi="Times New Roman"/>
          <w:sz w:val="28"/>
          <w:szCs w:val="28"/>
          <w:lang w:val="sq-AL"/>
        </w:rPr>
        <w:t xml:space="preserve">rfshin </w:t>
      </w:r>
      <w:r w:rsidR="003A7395" w:rsidRPr="00C03A20">
        <w:rPr>
          <w:rFonts w:ascii="Times New Roman" w:hAnsi="Times New Roman"/>
          <w:sz w:val="28"/>
          <w:szCs w:val="28"/>
          <w:lang w:val="sq-AL"/>
        </w:rPr>
        <w:t xml:space="preserve">zgjidhjen </w:t>
      </w:r>
      <w:r w:rsidR="00C66E21" w:rsidRPr="00C03A20">
        <w:rPr>
          <w:rFonts w:ascii="Times New Roman" w:hAnsi="Times New Roman"/>
          <w:sz w:val="28"/>
          <w:szCs w:val="28"/>
          <w:lang w:val="sq-AL"/>
        </w:rPr>
        <w:t>e mosma</w:t>
      </w:r>
      <w:r w:rsidR="0071269B" w:rsidRPr="00C03A20">
        <w:rPr>
          <w:rFonts w:ascii="Times New Roman" w:hAnsi="Times New Roman"/>
          <w:sz w:val="28"/>
          <w:szCs w:val="28"/>
          <w:lang w:val="sq-AL"/>
        </w:rPr>
        <w:t>rr</w:t>
      </w:r>
      <w:r w:rsidR="0096783F" w:rsidRPr="00C03A20">
        <w:rPr>
          <w:rFonts w:ascii="Times New Roman" w:hAnsi="Times New Roman"/>
          <w:sz w:val="28"/>
          <w:szCs w:val="28"/>
          <w:lang w:val="sq-AL"/>
        </w:rPr>
        <w:t>ë</w:t>
      </w:r>
      <w:r w:rsidR="0071269B" w:rsidRPr="00C03A20">
        <w:rPr>
          <w:rFonts w:ascii="Times New Roman" w:hAnsi="Times New Roman"/>
          <w:sz w:val="28"/>
          <w:szCs w:val="28"/>
          <w:lang w:val="sq-AL"/>
        </w:rPr>
        <w:t xml:space="preserve">veshjeve </w:t>
      </w:r>
      <w:r w:rsidR="007F713A" w:rsidRPr="00C03A20">
        <w:rPr>
          <w:rFonts w:ascii="Times New Roman" w:hAnsi="Times New Roman"/>
          <w:sz w:val="28"/>
          <w:szCs w:val="28"/>
          <w:lang w:val="sq-AL"/>
        </w:rPr>
        <w:t>nd</w:t>
      </w:r>
      <w:r w:rsidR="0096783F" w:rsidRPr="00C03A20">
        <w:rPr>
          <w:rFonts w:ascii="Times New Roman" w:hAnsi="Times New Roman"/>
          <w:sz w:val="28"/>
          <w:szCs w:val="28"/>
          <w:lang w:val="sq-AL"/>
        </w:rPr>
        <w:t>ë</w:t>
      </w:r>
      <w:r w:rsidR="007F713A" w:rsidRPr="00C03A20">
        <w:rPr>
          <w:rFonts w:ascii="Times New Roman" w:hAnsi="Times New Roman"/>
          <w:sz w:val="28"/>
          <w:szCs w:val="28"/>
          <w:lang w:val="sq-AL"/>
        </w:rPr>
        <w:t>rmjet pal</w:t>
      </w:r>
      <w:r w:rsidR="0096783F" w:rsidRPr="00C03A20">
        <w:rPr>
          <w:rFonts w:ascii="Times New Roman" w:hAnsi="Times New Roman"/>
          <w:sz w:val="28"/>
          <w:szCs w:val="28"/>
          <w:lang w:val="sq-AL"/>
        </w:rPr>
        <w:t>ë</w:t>
      </w:r>
      <w:r w:rsidR="007F713A" w:rsidRPr="00C03A20">
        <w:rPr>
          <w:rFonts w:ascii="Times New Roman" w:hAnsi="Times New Roman"/>
          <w:sz w:val="28"/>
          <w:szCs w:val="28"/>
          <w:lang w:val="sq-AL"/>
        </w:rPr>
        <w:t>ve q</w:t>
      </w:r>
      <w:r w:rsidR="0096783F" w:rsidRPr="00C03A20">
        <w:rPr>
          <w:rFonts w:ascii="Times New Roman" w:hAnsi="Times New Roman"/>
          <w:sz w:val="28"/>
          <w:szCs w:val="28"/>
          <w:lang w:val="sq-AL"/>
        </w:rPr>
        <w:t>ë</w:t>
      </w:r>
      <w:r w:rsidR="007F713A" w:rsidRPr="00C03A20">
        <w:rPr>
          <w:rFonts w:ascii="Times New Roman" w:hAnsi="Times New Roman"/>
          <w:sz w:val="28"/>
          <w:szCs w:val="28"/>
          <w:lang w:val="sq-AL"/>
        </w:rPr>
        <w:t xml:space="preserve"> veprojn</w:t>
      </w:r>
      <w:r w:rsidR="0096783F" w:rsidRPr="00C03A20">
        <w:rPr>
          <w:rFonts w:ascii="Times New Roman" w:hAnsi="Times New Roman"/>
          <w:sz w:val="28"/>
          <w:szCs w:val="28"/>
          <w:lang w:val="sq-AL"/>
        </w:rPr>
        <w:t>ë</w:t>
      </w:r>
      <w:r w:rsidR="007F713A" w:rsidRPr="00C03A20">
        <w:rPr>
          <w:rFonts w:ascii="Times New Roman" w:hAnsi="Times New Roman"/>
          <w:sz w:val="28"/>
          <w:szCs w:val="28"/>
          <w:lang w:val="sq-AL"/>
        </w:rPr>
        <w:t xml:space="preserve"> n</w:t>
      </w:r>
      <w:r w:rsidR="0096783F" w:rsidRPr="00C03A20">
        <w:rPr>
          <w:rFonts w:ascii="Times New Roman" w:hAnsi="Times New Roman"/>
          <w:sz w:val="28"/>
          <w:szCs w:val="28"/>
          <w:lang w:val="sq-AL"/>
        </w:rPr>
        <w:t>ë</w:t>
      </w:r>
      <w:r w:rsidR="007F713A" w:rsidRPr="00C03A20">
        <w:rPr>
          <w:rFonts w:ascii="Times New Roman" w:hAnsi="Times New Roman"/>
          <w:sz w:val="28"/>
          <w:szCs w:val="28"/>
          <w:lang w:val="sq-AL"/>
        </w:rPr>
        <w:t xml:space="preserve"> shtete t</w:t>
      </w:r>
      <w:r w:rsidR="0096783F" w:rsidRPr="00C03A20">
        <w:rPr>
          <w:rFonts w:ascii="Times New Roman" w:hAnsi="Times New Roman"/>
          <w:sz w:val="28"/>
          <w:szCs w:val="28"/>
          <w:lang w:val="sq-AL"/>
        </w:rPr>
        <w:t>ë</w:t>
      </w:r>
      <w:r w:rsidR="007F713A" w:rsidRPr="00C03A20">
        <w:rPr>
          <w:rFonts w:ascii="Times New Roman" w:hAnsi="Times New Roman"/>
          <w:sz w:val="28"/>
          <w:szCs w:val="28"/>
          <w:lang w:val="sq-AL"/>
        </w:rPr>
        <w:t xml:space="preserve"> ndryshme </w:t>
      </w:r>
      <w:r w:rsidR="00B64DCF" w:rsidRPr="00C03A20">
        <w:rPr>
          <w:rFonts w:ascii="Times New Roman" w:hAnsi="Times New Roman"/>
          <w:sz w:val="28"/>
          <w:szCs w:val="28"/>
          <w:lang w:val="sq-AL"/>
        </w:rPr>
        <w:t>n</w:t>
      </w:r>
      <w:r w:rsidR="0096783F" w:rsidRPr="00C03A20">
        <w:rPr>
          <w:rFonts w:ascii="Times New Roman" w:hAnsi="Times New Roman"/>
          <w:sz w:val="28"/>
          <w:szCs w:val="28"/>
          <w:lang w:val="sq-AL"/>
        </w:rPr>
        <w:t>ë</w:t>
      </w:r>
      <w:r w:rsidR="00B64DCF" w:rsidRPr="00C03A20">
        <w:rPr>
          <w:rFonts w:ascii="Times New Roman" w:hAnsi="Times New Roman"/>
          <w:sz w:val="28"/>
          <w:szCs w:val="28"/>
          <w:lang w:val="sq-AL"/>
        </w:rPr>
        <w:t xml:space="preserve"> p</w:t>
      </w:r>
      <w:r w:rsidR="0096783F" w:rsidRPr="00C03A20">
        <w:rPr>
          <w:rFonts w:ascii="Times New Roman" w:hAnsi="Times New Roman"/>
          <w:sz w:val="28"/>
          <w:szCs w:val="28"/>
          <w:lang w:val="sq-AL"/>
        </w:rPr>
        <w:t>ë</w:t>
      </w:r>
      <w:r w:rsidR="00B64DCF" w:rsidRPr="00C03A20">
        <w:rPr>
          <w:rFonts w:ascii="Times New Roman" w:hAnsi="Times New Roman"/>
          <w:sz w:val="28"/>
          <w:szCs w:val="28"/>
          <w:lang w:val="sq-AL"/>
        </w:rPr>
        <w:t xml:space="preserve">rputhje me parashikimet e nenit </w:t>
      </w:r>
      <w:r w:rsidR="00335B74" w:rsidRPr="00C03A20">
        <w:rPr>
          <w:rFonts w:ascii="Times New Roman" w:hAnsi="Times New Roman"/>
          <w:sz w:val="28"/>
          <w:szCs w:val="28"/>
          <w:lang w:val="sq-AL"/>
        </w:rPr>
        <w:t>1</w:t>
      </w:r>
      <w:r w:rsidR="00D33EF7" w:rsidRPr="00C03A20">
        <w:rPr>
          <w:rFonts w:ascii="Times New Roman" w:hAnsi="Times New Roman"/>
          <w:sz w:val="28"/>
          <w:szCs w:val="28"/>
          <w:lang w:val="sq-AL"/>
        </w:rPr>
        <w:t>,</w:t>
      </w:r>
      <w:r w:rsidR="00335B74" w:rsidRPr="00C03A20">
        <w:rPr>
          <w:rFonts w:ascii="Times New Roman" w:hAnsi="Times New Roman"/>
          <w:sz w:val="28"/>
          <w:szCs w:val="28"/>
          <w:lang w:val="sq-AL"/>
        </w:rPr>
        <w:t xml:space="preserve"> paragrafi </w:t>
      </w:r>
      <w:r w:rsidR="001C393A" w:rsidRPr="00C03A20">
        <w:rPr>
          <w:rFonts w:ascii="Times New Roman" w:hAnsi="Times New Roman"/>
          <w:sz w:val="28"/>
          <w:szCs w:val="28"/>
          <w:lang w:val="sq-AL"/>
        </w:rPr>
        <w:t>3 t</w:t>
      </w:r>
      <w:r w:rsidR="0096783F" w:rsidRPr="00C03A20">
        <w:rPr>
          <w:rFonts w:ascii="Times New Roman" w:hAnsi="Times New Roman"/>
          <w:sz w:val="28"/>
          <w:szCs w:val="28"/>
          <w:lang w:val="sq-AL"/>
        </w:rPr>
        <w:t>ë</w:t>
      </w:r>
      <w:r w:rsidR="001C393A" w:rsidRPr="00C03A20">
        <w:rPr>
          <w:rFonts w:ascii="Times New Roman" w:hAnsi="Times New Roman"/>
          <w:sz w:val="28"/>
          <w:szCs w:val="28"/>
          <w:lang w:val="sq-AL"/>
        </w:rPr>
        <w:t xml:space="preserve"> ligjit model UNCITRAL.</w:t>
      </w:r>
    </w:p>
    <w:p w:rsidR="00931B4D" w:rsidRPr="00C03A20" w:rsidRDefault="00931B4D" w:rsidP="00C03A20">
      <w:pPr>
        <w:spacing w:after="0"/>
        <w:jc w:val="both"/>
        <w:rPr>
          <w:rFonts w:ascii="Times New Roman" w:hAnsi="Times New Roman"/>
          <w:sz w:val="28"/>
          <w:szCs w:val="28"/>
          <w:lang w:val="sq-AL"/>
        </w:rPr>
      </w:pPr>
    </w:p>
    <w:p w:rsidR="006223A4" w:rsidRPr="00C03A20" w:rsidRDefault="00931B4D" w:rsidP="00C03A20">
      <w:pPr>
        <w:spacing w:after="0"/>
        <w:jc w:val="both"/>
        <w:rPr>
          <w:rFonts w:ascii="Times New Roman" w:hAnsi="Times New Roman"/>
          <w:sz w:val="28"/>
          <w:szCs w:val="28"/>
          <w:lang w:val="sq-AL"/>
        </w:rPr>
      </w:pPr>
      <w:r w:rsidRPr="00C03A20">
        <w:rPr>
          <w:rFonts w:ascii="Times New Roman" w:hAnsi="Times New Roman"/>
          <w:sz w:val="28"/>
          <w:szCs w:val="28"/>
          <w:lang w:val="sq-AL"/>
        </w:rPr>
        <w:t xml:space="preserve">Risi e </w:t>
      </w:r>
      <w:r w:rsidR="00CC02F7" w:rsidRPr="00C03A20">
        <w:rPr>
          <w:rFonts w:ascii="Times New Roman" w:hAnsi="Times New Roman"/>
          <w:sz w:val="28"/>
          <w:szCs w:val="28"/>
          <w:lang w:val="sq-AL"/>
        </w:rPr>
        <w:t>Kreut I t</w:t>
      </w:r>
      <w:r w:rsidR="0096783F" w:rsidRPr="00C03A20">
        <w:rPr>
          <w:rFonts w:ascii="Times New Roman" w:hAnsi="Times New Roman"/>
          <w:sz w:val="28"/>
          <w:szCs w:val="28"/>
          <w:lang w:val="sq-AL"/>
        </w:rPr>
        <w:t>ë</w:t>
      </w:r>
      <w:r w:rsidR="00CC02F7" w:rsidRPr="00C03A20">
        <w:rPr>
          <w:rFonts w:ascii="Times New Roman" w:hAnsi="Times New Roman"/>
          <w:sz w:val="28"/>
          <w:szCs w:val="28"/>
          <w:lang w:val="sq-AL"/>
        </w:rPr>
        <w:t xml:space="preserve"> projektligjit </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sht</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 xml:space="preserve"> parashikimi i nj</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 xml:space="preserve"> neni q</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 xml:space="preserve"> p</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rfshin rregullat e interpretimit n</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 xml:space="preserve"> p</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rputhje me ligjin model t</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 xml:space="preserve"> UNCITRAL, m</w:t>
      </w:r>
      <w:r w:rsidR="0096783F" w:rsidRPr="00C03A20">
        <w:rPr>
          <w:rFonts w:ascii="Times New Roman" w:hAnsi="Times New Roman"/>
          <w:sz w:val="28"/>
          <w:szCs w:val="28"/>
          <w:lang w:val="sq-AL"/>
        </w:rPr>
        <w:t>ë</w:t>
      </w:r>
      <w:r w:rsidR="000C7D33" w:rsidRPr="00C03A20">
        <w:rPr>
          <w:rFonts w:ascii="Times New Roman" w:hAnsi="Times New Roman"/>
          <w:sz w:val="28"/>
          <w:szCs w:val="28"/>
          <w:lang w:val="sq-AL"/>
        </w:rPr>
        <w:t xml:space="preserve"> konkretisht nenin </w:t>
      </w:r>
      <w:r w:rsidR="0034173A" w:rsidRPr="00C03A20">
        <w:rPr>
          <w:rFonts w:ascii="Times New Roman" w:hAnsi="Times New Roman"/>
          <w:sz w:val="28"/>
          <w:szCs w:val="28"/>
          <w:lang w:val="sq-AL"/>
        </w:rPr>
        <w:t>2 shkronjat “</w:t>
      </w:r>
      <w:r w:rsidR="001277CE" w:rsidRPr="00C03A20">
        <w:rPr>
          <w:rFonts w:ascii="Times New Roman" w:hAnsi="Times New Roman"/>
          <w:sz w:val="28"/>
          <w:szCs w:val="28"/>
          <w:lang w:val="sq-AL"/>
        </w:rPr>
        <w:t>b</w:t>
      </w:r>
      <w:r w:rsidR="0034173A" w:rsidRPr="00C03A20">
        <w:rPr>
          <w:rFonts w:ascii="Times New Roman" w:hAnsi="Times New Roman"/>
          <w:sz w:val="28"/>
          <w:szCs w:val="28"/>
          <w:lang w:val="sq-AL"/>
        </w:rPr>
        <w:t>”</w:t>
      </w:r>
      <w:r w:rsidR="001277CE" w:rsidRPr="00C03A20">
        <w:rPr>
          <w:rFonts w:ascii="Times New Roman" w:hAnsi="Times New Roman"/>
          <w:sz w:val="28"/>
          <w:szCs w:val="28"/>
          <w:lang w:val="sq-AL"/>
        </w:rPr>
        <w:t>, “c”, “</w:t>
      </w:r>
      <w:r w:rsidR="00562FC1" w:rsidRPr="00C03A20">
        <w:rPr>
          <w:rFonts w:ascii="Times New Roman" w:hAnsi="Times New Roman"/>
          <w:sz w:val="28"/>
          <w:szCs w:val="28"/>
          <w:lang w:val="sq-AL"/>
        </w:rPr>
        <w:t>d</w:t>
      </w:r>
      <w:r w:rsidR="001277CE" w:rsidRPr="00C03A20">
        <w:rPr>
          <w:rFonts w:ascii="Times New Roman" w:hAnsi="Times New Roman"/>
          <w:sz w:val="28"/>
          <w:szCs w:val="28"/>
          <w:lang w:val="sq-AL"/>
        </w:rPr>
        <w:t>”</w:t>
      </w:r>
      <w:r w:rsidR="00562FC1" w:rsidRPr="00C03A20">
        <w:rPr>
          <w:rFonts w:ascii="Times New Roman" w:hAnsi="Times New Roman"/>
          <w:sz w:val="28"/>
          <w:szCs w:val="28"/>
          <w:lang w:val="sq-AL"/>
        </w:rPr>
        <w:t>, “e” dhe “f” t</w:t>
      </w:r>
      <w:r w:rsidR="0096783F" w:rsidRPr="00C03A20">
        <w:rPr>
          <w:rFonts w:ascii="Times New Roman" w:hAnsi="Times New Roman"/>
          <w:sz w:val="28"/>
          <w:szCs w:val="28"/>
          <w:lang w:val="sq-AL"/>
        </w:rPr>
        <w:t>ë</w:t>
      </w:r>
      <w:r w:rsidR="00CB10A0" w:rsidRPr="00C03A20">
        <w:rPr>
          <w:rFonts w:ascii="Times New Roman" w:hAnsi="Times New Roman"/>
          <w:sz w:val="28"/>
          <w:szCs w:val="28"/>
          <w:lang w:val="sq-AL"/>
        </w:rPr>
        <w:t xml:space="preserve"> tij</w:t>
      </w:r>
      <w:r w:rsidR="00BA5E9A" w:rsidRPr="00C03A20">
        <w:rPr>
          <w:rFonts w:ascii="Times New Roman" w:hAnsi="Times New Roman"/>
          <w:sz w:val="28"/>
          <w:szCs w:val="28"/>
          <w:lang w:val="sq-AL"/>
        </w:rPr>
        <w:t>.</w:t>
      </w:r>
      <w:r w:rsidR="00011F02" w:rsidRPr="00C03A20">
        <w:rPr>
          <w:rFonts w:ascii="Times New Roman" w:hAnsi="Times New Roman"/>
          <w:sz w:val="28"/>
          <w:szCs w:val="28"/>
          <w:lang w:val="sq-AL"/>
        </w:rPr>
        <w:t xml:space="preserve"> </w:t>
      </w:r>
    </w:p>
    <w:p w:rsidR="006223A4" w:rsidRPr="00C03A20" w:rsidRDefault="006223A4" w:rsidP="00C03A20">
      <w:pPr>
        <w:spacing w:after="0"/>
        <w:jc w:val="both"/>
        <w:rPr>
          <w:rFonts w:ascii="Times New Roman" w:hAnsi="Times New Roman"/>
          <w:sz w:val="28"/>
          <w:szCs w:val="28"/>
          <w:lang w:val="sq-AL"/>
        </w:rPr>
      </w:pPr>
    </w:p>
    <w:p w:rsidR="00931B4D" w:rsidRPr="00C03A20" w:rsidRDefault="00011F02" w:rsidP="00C03A20">
      <w:pPr>
        <w:spacing w:after="0"/>
        <w:jc w:val="both"/>
        <w:rPr>
          <w:rFonts w:ascii="Times New Roman" w:hAnsi="Times New Roman"/>
          <w:sz w:val="28"/>
          <w:szCs w:val="28"/>
          <w:lang w:val="sq-AL"/>
        </w:rPr>
      </w:pPr>
      <w:r w:rsidRPr="00C03A20">
        <w:rPr>
          <w:rFonts w:ascii="Times New Roman" w:hAnsi="Times New Roman"/>
          <w:sz w:val="28"/>
          <w:szCs w:val="28"/>
          <w:lang w:val="sq-AL"/>
        </w:rPr>
        <w:lastRenderedPageBreak/>
        <w:t>M</w:t>
      </w:r>
      <w:r w:rsidR="0096783F" w:rsidRPr="00C03A20">
        <w:rPr>
          <w:rFonts w:ascii="Times New Roman" w:hAnsi="Times New Roman"/>
          <w:sz w:val="28"/>
          <w:szCs w:val="28"/>
          <w:lang w:val="sq-AL"/>
        </w:rPr>
        <w:t>ë</w:t>
      </w:r>
      <w:r w:rsidRPr="00C03A20">
        <w:rPr>
          <w:rFonts w:ascii="Times New Roman" w:hAnsi="Times New Roman"/>
          <w:sz w:val="28"/>
          <w:szCs w:val="28"/>
          <w:lang w:val="sq-AL"/>
        </w:rPr>
        <w:t xml:space="preserve"> tej, </w:t>
      </w:r>
      <w:r w:rsidR="0098518F" w:rsidRPr="00C03A20">
        <w:rPr>
          <w:rFonts w:ascii="Times New Roman" w:hAnsi="Times New Roman"/>
          <w:sz w:val="28"/>
          <w:szCs w:val="28"/>
          <w:lang w:val="sq-AL"/>
        </w:rPr>
        <w:t>ky Kre</w:t>
      </w:r>
      <w:r w:rsidRPr="00C03A20">
        <w:rPr>
          <w:rFonts w:ascii="Times New Roman" w:hAnsi="Times New Roman"/>
          <w:sz w:val="28"/>
          <w:szCs w:val="28"/>
          <w:lang w:val="sq-AL"/>
        </w:rPr>
        <w:t xml:space="preserve"> </w:t>
      </w:r>
      <w:r w:rsidR="003165D6" w:rsidRPr="00C03A20">
        <w:rPr>
          <w:rFonts w:ascii="Times New Roman" w:hAnsi="Times New Roman"/>
          <w:sz w:val="28"/>
          <w:szCs w:val="28"/>
          <w:lang w:val="sq-AL"/>
        </w:rPr>
        <w:t>p</w:t>
      </w:r>
      <w:r w:rsidR="0096783F" w:rsidRPr="00C03A20">
        <w:rPr>
          <w:rFonts w:ascii="Times New Roman" w:hAnsi="Times New Roman"/>
          <w:sz w:val="28"/>
          <w:szCs w:val="28"/>
          <w:lang w:val="sq-AL"/>
        </w:rPr>
        <w:t>ë</w:t>
      </w:r>
      <w:r w:rsidR="003165D6" w:rsidRPr="00C03A20">
        <w:rPr>
          <w:rFonts w:ascii="Times New Roman" w:hAnsi="Times New Roman"/>
          <w:sz w:val="28"/>
          <w:szCs w:val="28"/>
          <w:lang w:val="sq-AL"/>
        </w:rPr>
        <w:t xml:space="preserve">rmban parashikime </w:t>
      </w:r>
      <w:r w:rsidR="00603544" w:rsidRPr="00C03A20">
        <w:rPr>
          <w:rFonts w:ascii="Times New Roman" w:hAnsi="Times New Roman"/>
          <w:sz w:val="28"/>
          <w:szCs w:val="28"/>
          <w:lang w:val="sq-AL"/>
        </w:rPr>
        <w:t>mbi mund</w:t>
      </w:r>
      <w:r w:rsidR="0096783F" w:rsidRPr="00C03A20">
        <w:rPr>
          <w:rFonts w:ascii="Times New Roman" w:hAnsi="Times New Roman"/>
          <w:sz w:val="28"/>
          <w:szCs w:val="28"/>
          <w:lang w:val="sq-AL"/>
        </w:rPr>
        <w:t>ë</w:t>
      </w:r>
      <w:r w:rsidR="00603544" w:rsidRPr="00C03A20">
        <w:rPr>
          <w:rFonts w:ascii="Times New Roman" w:hAnsi="Times New Roman"/>
          <w:sz w:val="28"/>
          <w:szCs w:val="28"/>
          <w:lang w:val="sq-AL"/>
        </w:rPr>
        <w:t>sin</w:t>
      </w:r>
      <w:r w:rsidR="0096783F" w:rsidRPr="00C03A20">
        <w:rPr>
          <w:rFonts w:ascii="Times New Roman" w:hAnsi="Times New Roman"/>
          <w:sz w:val="28"/>
          <w:szCs w:val="28"/>
          <w:lang w:val="sq-AL"/>
        </w:rPr>
        <w:t>ë</w:t>
      </w:r>
      <w:r w:rsidR="00603544" w:rsidRPr="00C03A20">
        <w:rPr>
          <w:rFonts w:ascii="Times New Roman" w:hAnsi="Times New Roman"/>
          <w:sz w:val="28"/>
          <w:szCs w:val="28"/>
          <w:lang w:val="sq-AL"/>
        </w:rPr>
        <w:t xml:space="preserve"> </w:t>
      </w:r>
      <w:r w:rsidR="00AA285C" w:rsidRPr="00C03A20">
        <w:rPr>
          <w:rFonts w:ascii="Times New Roman" w:hAnsi="Times New Roman"/>
          <w:sz w:val="28"/>
          <w:szCs w:val="28"/>
          <w:lang w:val="sq-AL"/>
        </w:rPr>
        <w:t>e pal</w:t>
      </w:r>
      <w:r w:rsidR="0096783F" w:rsidRPr="00C03A20">
        <w:rPr>
          <w:rFonts w:ascii="Times New Roman" w:hAnsi="Times New Roman"/>
          <w:sz w:val="28"/>
          <w:szCs w:val="28"/>
          <w:lang w:val="sq-AL"/>
        </w:rPr>
        <w:t>ë</w:t>
      </w:r>
      <w:r w:rsidR="00AA285C" w:rsidRPr="00C03A20">
        <w:rPr>
          <w:rFonts w:ascii="Times New Roman" w:hAnsi="Times New Roman"/>
          <w:sz w:val="28"/>
          <w:szCs w:val="28"/>
          <w:lang w:val="sq-AL"/>
        </w:rPr>
        <w:t>ve p</w:t>
      </w:r>
      <w:r w:rsidR="0096783F" w:rsidRPr="00C03A20">
        <w:rPr>
          <w:rFonts w:ascii="Times New Roman" w:hAnsi="Times New Roman"/>
          <w:sz w:val="28"/>
          <w:szCs w:val="28"/>
          <w:lang w:val="sq-AL"/>
        </w:rPr>
        <w:t>ë</w:t>
      </w:r>
      <w:r w:rsidR="00AA285C" w:rsidRPr="00C03A20">
        <w:rPr>
          <w:rFonts w:ascii="Times New Roman" w:hAnsi="Times New Roman"/>
          <w:sz w:val="28"/>
          <w:szCs w:val="28"/>
          <w:lang w:val="sq-AL"/>
        </w:rPr>
        <w:t>r t</w:t>
      </w:r>
      <w:r w:rsidR="000B1C8A" w:rsidRPr="00C03A20">
        <w:rPr>
          <w:rFonts w:ascii="Times New Roman" w:hAnsi="Times New Roman"/>
          <w:sz w:val="28"/>
          <w:szCs w:val="28"/>
          <w:lang w:val="sq-AL"/>
        </w:rPr>
        <w:t>’ia</w:t>
      </w:r>
      <w:r w:rsidR="00AA285C" w:rsidRPr="00C03A20">
        <w:rPr>
          <w:rFonts w:ascii="Times New Roman" w:hAnsi="Times New Roman"/>
          <w:sz w:val="28"/>
          <w:szCs w:val="28"/>
          <w:lang w:val="sq-AL"/>
        </w:rPr>
        <w:t xml:space="preserve"> paraqitur mosmarr</w:t>
      </w:r>
      <w:r w:rsidR="0096783F" w:rsidRPr="00C03A20">
        <w:rPr>
          <w:rFonts w:ascii="Times New Roman" w:hAnsi="Times New Roman"/>
          <w:sz w:val="28"/>
          <w:szCs w:val="28"/>
          <w:lang w:val="sq-AL"/>
        </w:rPr>
        <w:t>ë</w:t>
      </w:r>
      <w:r w:rsidR="00AA285C" w:rsidRPr="00C03A20">
        <w:rPr>
          <w:rFonts w:ascii="Times New Roman" w:hAnsi="Times New Roman"/>
          <w:sz w:val="28"/>
          <w:szCs w:val="28"/>
          <w:lang w:val="sq-AL"/>
        </w:rPr>
        <w:t>veshjen e tyre arbitrazhit t</w:t>
      </w:r>
      <w:r w:rsidR="0096783F" w:rsidRPr="00C03A20">
        <w:rPr>
          <w:rFonts w:ascii="Times New Roman" w:hAnsi="Times New Roman"/>
          <w:sz w:val="28"/>
          <w:szCs w:val="28"/>
          <w:lang w:val="sq-AL"/>
        </w:rPr>
        <w:t>ë</w:t>
      </w:r>
      <w:r w:rsidR="00AA285C" w:rsidRPr="00C03A20">
        <w:rPr>
          <w:rFonts w:ascii="Times New Roman" w:hAnsi="Times New Roman"/>
          <w:sz w:val="28"/>
          <w:szCs w:val="28"/>
          <w:lang w:val="sq-AL"/>
        </w:rPr>
        <w:t xml:space="preserve"> huaj</w:t>
      </w:r>
      <w:r w:rsidR="00306256" w:rsidRPr="00C03A20">
        <w:rPr>
          <w:rFonts w:ascii="Times New Roman" w:hAnsi="Times New Roman"/>
          <w:sz w:val="28"/>
          <w:szCs w:val="28"/>
          <w:lang w:val="sq-AL"/>
        </w:rPr>
        <w:t>, mbi rregullat e posaçme p</w:t>
      </w:r>
      <w:r w:rsidR="0096783F" w:rsidRPr="00C03A20">
        <w:rPr>
          <w:rFonts w:ascii="Times New Roman" w:hAnsi="Times New Roman"/>
          <w:sz w:val="28"/>
          <w:szCs w:val="28"/>
          <w:lang w:val="sq-AL"/>
        </w:rPr>
        <w:t>ë</w:t>
      </w:r>
      <w:r w:rsidR="00306256" w:rsidRPr="00C03A20">
        <w:rPr>
          <w:rFonts w:ascii="Times New Roman" w:hAnsi="Times New Roman"/>
          <w:sz w:val="28"/>
          <w:szCs w:val="28"/>
          <w:lang w:val="sq-AL"/>
        </w:rPr>
        <w:t xml:space="preserve">r </w:t>
      </w:r>
      <w:r w:rsidR="00425F6C" w:rsidRPr="00C03A20">
        <w:rPr>
          <w:rFonts w:ascii="Times New Roman" w:hAnsi="Times New Roman"/>
          <w:sz w:val="28"/>
          <w:szCs w:val="28"/>
          <w:lang w:val="sq-AL"/>
        </w:rPr>
        <w:t>kryerjen e njoftimit me shkrim t</w:t>
      </w:r>
      <w:r w:rsidR="0096783F" w:rsidRPr="00C03A20">
        <w:rPr>
          <w:rFonts w:ascii="Times New Roman" w:hAnsi="Times New Roman"/>
          <w:sz w:val="28"/>
          <w:szCs w:val="28"/>
          <w:lang w:val="sq-AL"/>
        </w:rPr>
        <w:t>ë</w:t>
      </w:r>
      <w:r w:rsidR="00425F6C" w:rsidRPr="00C03A20">
        <w:rPr>
          <w:rFonts w:ascii="Times New Roman" w:hAnsi="Times New Roman"/>
          <w:sz w:val="28"/>
          <w:szCs w:val="28"/>
          <w:lang w:val="sq-AL"/>
        </w:rPr>
        <w:t xml:space="preserve"> komunikimeve</w:t>
      </w:r>
      <w:r w:rsidR="00DF5170" w:rsidRPr="00C03A20">
        <w:rPr>
          <w:rFonts w:ascii="Times New Roman" w:hAnsi="Times New Roman"/>
          <w:sz w:val="28"/>
          <w:szCs w:val="28"/>
          <w:lang w:val="sq-AL"/>
        </w:rPr>
        <w:t xml:space="preserve">, mbi </w:t>
      </w:r>
      <w:r w:rsidR="005704CD" w:rsidRPr="00C03A20">
        <w:rPr>
          <w:rFonts w:ascii="Times New Roman" w:hAnsi="Times New Roman"/>
          <w:sz w:val="28"/>
          <w:szCs w:val="28"/>
          <w:lang w:val="sq-AL"/>
        </w:rPr>
        <w:t xml:space="preserve">parakushtet </w:t>
      </w:r>
      <w:r w:rsidR="00D02CFC" w:rsidRPr="00C03A20">
        <w:rPr>
          <w:rFonts w:ascii="Times New Roman" w:hAnsi="Times New Roman"/>
          <w:sz w:val="28"/>
          <w:szCs w:val="28"/>
          <w:lang w:val="sq-AL"/>
        </w:rPr>
        <w:t>p</w:t>
      </w:r>
      <w:r w:rsidR="0096783F" w:rsidRPr="00C03A20">
        <w:rPr>
          <w:rFonts w:ascii="Times New Roman" w:hAnsi="Times New Roman"/>
          <w:sz w:val="28"/>
          <w:szCs w:val="28"/>
          <w:lang w:val="sq-AL"/>
        </w:rPr>
        <w:t>ë</w:t>
      </w:r>
      <w:r w:rsidR="00D02CFC" w:rsidRPr="00C03A20">
        <w:rPr>
          <w:rFonts w:ascii="Times New Roman" w:hAnsi="Times New Roman"/>
          <w:sz w:val="28"/>
          <w:szCs w:val="28"/>
          <w:lang w:val="sq-AL"/>
        </w:rPr>
        <w:t xml:space="preserve">r t’u konsideruar </w:t>
      </w:r>
      <w:r w:rsidR="004E6E57" w:rsidRPr="00C03A20">
        <w:rPr>
          <w:rFonts w:ascii="Times New Roman" w:hAnsi="Times New Roman"/>
          <w:sz w:val="28"/>
          <w:szCs w:val="28"/>
          <w:lang w:val="sq-AL"/>
        </w:rPr>
        <w:t>heqja dor</w:t>
      </w:r>
      <w:r w:rsidR="0096783F" w:rsidRPr="00C03A20">
        <w:rPr>
          <w:rFonts w:ascii="Times New Roman" w:hAnsi="Times New Roman"/>
          <w:sz w:val="28"/>
          <w:szCs w:val="28"/>
          <w:lang w:val="sq-AL"/>
        </w:rPr>
        <w:t>ë</w:t>
      </w:r>
      <w:r w:rsidR="004E6E57" w:rsidRPr="00C03A20">
        <w:rPr>
          <w:rFonts w:ascii="Times New Roman" w:hAnsi="Times New Roman"/>
          <w:sz w:val="28"/>
          <w:szCs w:val="28"/>
          <w:lang w:val="sq-AL"/>
        </w:rPr>
        <w:t xml:space="preserve"> nga e drejta e pal</w:t>
      </w:r>
      <w:r w:rsidR="0096783F" w:rsidRPr="00C03A20">
        <w:rPr>
          <w:rFonts w:ascii="Times New Roman" w:hAnsi="Times New Roman"/>
          <w:sz w:val="28"/>
          <w:szCs w:val="28"/>
          <w:lang w:val="sq-AL"/>
        </w:rPr>
        <w:t>ë</w:t>
      </w:r>
      <w:r w:rsidR="004E6E57" w:rsidRPr="00C03A20">
        <w:rPr>
          <w:rFonts w:ascii="Times New Roman" w:hAnsi="Times New Roman"/>
          <w:sz w:val="28"/>
          <w:szCs w:val="28"/>
          <w:lang w:val="sq-AL"/>
        </w:rPr>
        <w:t>ve p</w:t>
      </w:r>
      <w:r w:rsidR="0096783F" w:rsidRPr="00C03A20">
        <w:rPr>
          <w:rFonts w:ascii="Times New Roman" w:hAnsi="Times New Roman"/>
          <w:sz w:val="28"/>
          <w:szCs w:val="28"/>
          <w:lang w:val="sq-AL"/>
        </w:rPr>
        <w:t>ë</w:t>
      </w:r>
      <w:r w:rsidR="004E6E57" w:rsidRPr="00C03A20">
        <w:rPr>
          <w:rFonts w:ascii="Times New Roman" w:hAnsi="Times New Roman"/>
          <w:sz w:val="28"/>
          <w:szCs w:val="28"/>
          <w:lang w:val="sq-AL"/>
        </w:rPr>
        <w:t>r kund</w:t>
      </w:r>
      <w:r w:rsidR="0096783F" w:rsidRPr="00C03A20">
        <w:rPr>
          <w:rFonts w:ascii="Times New Roman" w:hAnsi="Times New Roman"/>
          <w:sz w:val="28"/>
          <w:szCs w:val="28"/>
          <w:lang w:val="sq-AL"/>
        </w:rPr>
        <w:t>ë</w:t>
      </w:r>
      <w:r w:rsidR="004E6E57" w:rsidRPr="00C03A20">
        <w:rPr>
          <w:rFonts w:ascii="Times New Roman" w:hAnsi="Times New Roman"/>
          <w:sz w:val="28"/>
          <w:szCs w:val="28"/>
          <w:lang w:val="sq-AL"/>
        </w:rPr>
        <w:t>rshtim</w:t>
      </w:r>
      <w:r w:rsidR="000E5E74" w:rsidRPr="00C03A20">
        <w:rPr>
          <w:rFonts w:ascii="Times New Roman" w:hAnsi="Times New Roman"/>
          <w:sz w:val="28"/>
          <w:szCs w:val="28"/>
          <w:lang w:val="sq-AL"/>
        </w:rPr>
        <w:t xml:space="preserve">, </w:t>
      </w:r>
      <w:r w:rsidR="00CB10A0" w:rsidRPr="00C03A20">
        <w:rPr>
          <w:rFonts w:ascii="Times New Roman" w:hAnsi="Times New Roman"/>
          <w:sz w:val="28"/>
          <w:szCs w:val="28"/>
          <w:lang w:val="sq-AL"/>
        </w:rPr>
        <w:t>sanksionimi</w:t>
      </w:r>
      <w:r w:rsidR="00A92FAD" w:rsidRPr="00C03A20">
        <w:rPr>
          <w:rFonts w:ascii="Times New Roman" w:hAnsi="Times New Roman"/>
          <w:sz w:val="28"/>
          <w:szCs w:val="28"/>
          <w:lang w:val="sq-AL"/>
        </w:rPr>
        <w:t xml:space="preserve"> </w:t>
      </w:r>
      <w:r w:rsidR="00CB10A0" w:rsidRPr="00C03A20">
        <w:rPr>
          <w:rFonts w:ascii="Times New Roman" w:hAnsi="Times New Roman"/>
          <w:sz w:val="28"/>
          <w:szCs w:val="28"/>
          <w:lang w:val="sq-AL"/>
        </w:rPr>
        <w:t>i</w:t>
      </w:r>
      <w:r w:rsidR="00A92FAD" w:rsidRPr="00C03A20">
        <w:rPr>
          <w:rFonts w:ascii="Times New Roman" w:hAnsi="Times New Roman"/>
          <w:sz w:val="28"/>
          <w:szCs w:val="28"/>
          <w:lang w:val="sq-AL"/>
        </w:rPr>
        <w:t xml:space="preserve"> </w:t>
      </w:r>
      <w:r w:rsidR="006A0DB8" w:rsidRPr="00C03A20">
        <w:rPr>
          <w:rFonts w:ascii="Times New Roman" w:hAnsi="Times New Roman"/>
          <w:sz w:val="28"/>
          <w:szCs w:val="28"/>
          <w:lang w:val="sq-AL"/>
        </w:rPr>
        <w:t>parimit t</w:t>
      </w:r>
      <w:r w:rsidR="00097D2F" w:rsidRPr="00C03A20">
        <w:rPr>
          <w:rFonts w:ascii="Times New Roman" w:hAnsi="Times New Roman"/>
          <w:sz w:val="28"/>
          <w:szCs w:val="28"/>
          <w:lang w:val="sq-AL"/>
        </w:rPr>
        <w:t>ë</w:t>
      </w:r>
      <w:r w:rsidR="006A0DB8" w:rsidRPr="00C03A20">
        <w:rPr>
          <w:rFonts w:ascii="Times New Roman" w:hAnsi="Times New Roman"/>
          <w:sz w:val="28"/>
          <w:szCs w:val="28"/>
          <w:lang w:val="sq-AL"/>
        </w:rPr>
        <w:t xml:space="preserve"> </w:t>
      </w:r>
      <w:r w:rsidR="00097D2F" w:rsidRPr="00C03A20">
        <w:rPr>
          <w:rFonts w:ascii="Times New Roman" w:hAnsi="Times New Roman"/>
          <w:sz w:val="28"/>
          <w:szCs w:val="28"/>
          <w:lang w:val="sq-AL"/>
        </w:rPr>
        <w:t>mospërfshirjes</w:t>
      </w:r>
      <w:r w:rsidR="006A0DB8" w:rsidRPr="00C03A20">
        <w:rPr>
          <w:rFonts w:ascii="Times New Roman" w:hAnsi="Times New Roman"/>
          <w:sz w:val="28"/>
          <w:szCs w:val="28"/>
          <w:lang w:val="sq-AL"/>
        </w:rPr>
        <w:t xml:space="preserve"> s</w:t>
      </w:r>
      <w:r w:rsidR="00097D2F" w:rsidRPr="00C03A20">
        <w:rPr>
          <w:rFonts w:ascii="Times New Roman" w:hAnsi="Times New Roman"/>
          <w:sz w:val="28"/>
          <w:szCs w:val="28"/>
          <w:lang w:val="sq-AL"/>
        </w:rPr>
        <w:t>ë</w:t>
      </w:r>
      <w:r w:rsidR="006A0DB8" w:rsidRPr="00C03A20">
        <w:rPr>
          <w:rFonts w:ascii="Times New Roman" w:hAnsi="Times New Roman"/>
          <w:sz w:val="28"/>
          <w:szCs w:val="28"/>
          <w:lang w:val="sq-AL"/>
        </w:rPr>
        <w:t xml:space="preserve"> gjykat</w:t>
      </w:r>
      <w:r w:rsidR="00097D2F" w:rsidRPr="00C03A20">
        <w:rPr>
          <w:rFonts w:ascii="Times New Roman" w:hAnsi="Times New Roman"/>
          <w:sz w:val="28"/>
          <w:szCs w:val="28"/>
          <w:lang w:val="sq-AL"/>
        </w:rPr>
        <w:t>ë</w:t>
      </w:r>
      <w:r w:rsidR="006A0DB8" w:rsidRPr="00C03A20">
        <w:rPr>
          <w:rFonts w:ascii="Times New Roman" w:hAnsi="Times New Roman"/>
          <w:sz w:val="28"/>
          <w:szCs w:val="28"/>
          <w:lang w:val="sq-AL"/>
        </w:rPr>
        <w:t xml:space="preserve">s </w:t>
      </w:r>
      <w:r w:rsidR="00965F4C" w:rsidRPr="00C03A20">
        <w:rPr>
          <w:rFonts w:ascii="Times New Roman" w:hAnsi="Times New Roman"/>
          <w:sz w:val="28"/>
          <w:szCs w:val="28"/>
          <w:lang w:val="sq-AL"/>
        </w:rPr>
        <w:t>n</w:t>
      </w:r>
      <w:r w:rsidR="00097D2F" w:rsidRPr="00C03A20">
        <w:rPr>
          <w:rFonts w:ascii="Times New Roman" w:hAnsi="Times New Roman"/>
          <w:sz w:val="28"/>
          <w:szCs w:val="28"/>
          <w:lang w:val="sq-AL"/>
        </w:rPr>
        <w:t>ë</w:t>
      </w:r>
      <w:r w:rsidR="00965F4C" w:rsidRPr="00C03A20">
        <w:rPr>
          <w:rFonts w:ascii="Times New Roman" w:hAnsi="Times New Roman"/>
          <w:sz w:val="28"/>
          <w:szCs w:val="28"/>
          <w:lang w:val="sq-AL"/>
        </w:rPr>
        <w:t xml:space="preserve"> çështjet e rregulluara nga ligji përveç nëse është përcaktuar ndryshe nga vet</w:t>
      </w:r>
      <w:r w:rsidR="00097D2F" w:rsidRPr="00C03A20">
        <w:rPr>
          <w:rFonts w:ascii="Times New Roman" w:hAnsi="Times New Roman"/>
          <w:sz w:val="28"/>
          <w:szCs w:val="28"/>
          <w:lang w:val="sq-AL"/>
        </w:rPr>
        <w:t>ë</w:t>
      </w:r>
      <w:r w:rsidR="00965F4C" w:rsidRPr="00C03A20">
        <w:rPr>
          <w:rFonts w:ascii="Times New Roman" w:hAnsi="Times New Roman"/>
          <w:sz w:val="28"/>
          <w:szCs w:val="28"/>
          <w:lang w:val="sq-AL"/>
        </w:rPr>
        <w:t xml:space="preserve"> ligji</w:t>
      </w:r>
      <w:r w:rsidR="00CB10A0" w:rsidRPr="00C03A20">
        <w:rPr>
          <w:rFonts w:ascii="Times New Roman" w:hAnsi="Times New Roman"/>
          <w:sz w:val="28"/>
          <w:szCs w:val="28"/>
          <w:lang w:val="sq-AL"/>
        </w:rPr>
        <w:t>, si dhe mbi</w:t>
      </w:r>
      <w:r w:rsidR="00CB10A0" w:rsidRPr="00C03A20">
        <w:rPr>
          <w:sz w:val="28"/>
          <w:szCs w:val="28"/>
        </w:rPr>
        <w:t xml:space="preserve"> </w:t>
      </w:r>
      <w:r w:rsidR="00CB10A0" w:rsidRPr="00C03A20">
        <w:rPr>
          <w:rFonts w:ascii="Times New Roman" w:hAnsi="Times New Roman"/>
          <w:sz w:val="28"/>
          <w:szCs w:val="28"/>
          <w:lang w:val="sq-AL"/>
        </w:rPr>
        <w:t>funksionet e gjykatës në mbështetje dhe mbikëqyrje nga gjykata.</w:t>
      </w:r>
      <w:r w:rsidR="008F4311" w:rsidRPr="00C03A20">
        <w:rPr>
          <w:rFonts w:ascii="Times New Roman" w:hAnsi="Times New Roman"/>
          <w:sz w:val="28"/>
          <w:szCs w:val="28"/>
          <w:lang w:val="sq-AL"/>
        </w:rPr>
        <w:t xml:space="preserve"> K</w:t>
      </w:r>
      <w:r w:rsidR="00097D2F" w:rsidRPr="00C03A20">
        <w:rPr>
          <w:rFonts w:ascii="Times New Roman" w:hAnsi="Times New Roman"/>
          <w:sz w:val="28"/>
          <w:szCs w:val="28"/>
          <w:lang w:val="sq-AL"/>
        </w:rPr>
        <w:t>ë</w:t>
      </w:r>
      <w:r w:rsidR="008F4311" w:rsidRPr="00C03A20">
        <w:rPr>
          <w:rFonts w:ascii="Times New Roman" w:hAnsi="Times New Roman"/>
          <w:sz w:val="28"/>
          <w:szCs w:val="28"/>
          <w:lang w:val="sq-AL"/>
        </w:rPr>
        <w:t>to parashikime jan</w:t>
      </w:r>
      <w:r w:rsidR="00097D2F" w:rsidRPr="00C03A20">
        <w:rPr>
          <w:rFonts w:ascii="Times New Roman" w:hAnsi="Times New Roman"/>
          <w:sz w:val="28"/>
          <w:szCs w:val="28"/>
          <w:lang w:val="sq-AL"/>
        </w:rPr>
        <w:t>ë</w:t>
      </w:r>
      <w:r w:rsidR="008F4311" w:rsidRPr="00C03A20">
        <w:rPr>
          <w:rFonts w:ascii="Times New Roman" w:hAnsi="Times New Roman"/>
          <w:sz w:val="28"/>
          <w:szCs w:val="28"/>
          <w:lang w:val="sq-AL"/>
        </w:rPr>
        <w:t xml:space="preserve"> në përputhje me</w:t>
      </w:r>
      <w:r w:rsidR="007344B2" w:rsidRPr="00C03A20">
        <w:rPr>
          <w:rFonts w:ascii="Times New Roman" w:hAnsi="Times New Roman"/>
          <w:sz w:val="28"/>
          <w:szCs w:val="28"/>
          <w:lang w:val="sq-AL"/>
        </w:rPr>
        <w:t xml:space="preserve"> nenet 3, 4</w:t>
      </w:r>
      <w:r w:rsidR="00354823" w:rsidRPr="00C03A20">
        <w:rPr>
          <w:rFonts w:ascii="Times New Roman" w:hAnsi="Times New Roman"/>
          <w:sz w:val="28"/>
          <w:szCs w:val="28"/>
          <w:lang w:val="sq-AL"/>
        </w:rPr>
        <w:t xml:space="preserve"> dhe</w:t>
      </w:r>
      <w:r w:rsidR="007344B2" w:rsidRPr="00C03A20">
        <w:rPr>
          <w:rFonts w:ascii="Times New Roman" w:hAnsi="Times New Roman"/>
          <w:sz w:val="28"/>
          <w:szCs w:val="28"/>
          <w:lang w:val="sq-AL"/>
        </w:rPr>
        <w:t xml:space="preserve"> </w:t>
      </w:r>
      <w:r w:rsidR="00A44735" w:rsidRPr="00C03A20">
        <w:rPr>
          <w:rFonts w:ascii="Times New Roman" w:hAnsi="Times New Roman"/>
          <w:sz w:val="28"/>
          <w:szCs w:val="28"/>
          <w:lang w:val="sq-AL"/>
        </w:rPr>
        <w:t xml:space="preserve">5 </w:t>
      </w:r>
      <w:r w:rsidR="00354823" w:rsidRPr="00C03A20">
        <w:rPr>
          <w:rFonts w:ascii="Times New Roman" w:hAnsi="Times New Roman"/>
          <w:sz w:val="28"/>
          <w:szCs w:val="28"/>
          <w:lang w:val="sq-AL"/>
        </w:rPr>
        <w:t>t</w:t>
      </w:r>
      <w:r w:rsidR="00097D2F" w:rsidRPr="00C03A20">
        <w:rPr>
          <w:rFonts w:ascii="Times New Roman" w:hAnsi="Times New Roman"/>
          <w:sz w:val="28"/>
          <w:szCs w:val="28"/>
          <w:lang w:val="sq-AL"/>
        </w:rPr>
        <w:t>ë</w:t>
      </w:r>
      <w:r w:rsidR="008F4311" w:rsidRPr="00C03A20">
        <w:rPr>
          <w:rFonts w:ascii="Times New Roman" w:hAnsi="Times New Roman"/>
          <w:sz w:val="28"/>
          <w:szCs w:val="28"/>
          <w:lang w:val="sq-AL"/>
        </w:rPr>
        <w:t xml:space="preserve"> ligji</w:t>
      </w:r>
      <w:r w:rsidR="00354823" w:rsidRPr="00C03A20">
        <w:rPr>
          <w:rFonts w:ascii="Times New Roman" w:hAnsi="Times New Roman"/>
          <w:sz w:val="28"/>
          <w:szCs w:val="28"/>
          <w:lang w:val="sq-AL"/>
        </w:rPr>
        <w:t>t</w:t>
      </w:r>
      <w:r w:rsidR="008F4311" w:rsidRPr="00C03A20">
        <w:rPr>
          <w:rFonts w:ascii="Times New Roman" w:hAnsi="Times New Roman"/>
          <w:sz w:val="28"/>
          <w:szCs w:val="28"/>
          <w:lang w:val="sq-AL"/>
        </w:rPr>
        <w:t xml:space="preserve"> model të UNCITRAL</w:t>
      </w:r>
      <w:r w:rsidR="00354823" w:rsidRPr="00C03A20">
        <w:rPr>
          <w:rFonts w:ascii="Times New Roman" w:hAnsi="Times New Roman"/>
          <w:sz w:val="28"/>
          <w:szCs w:val="28"/>
          <w:lang w:val="sq-AL"/>
        </w:rPr>
        <w:t xml:space="preserve"> si dhe me </w:t>
      </w:r>
      <w:r w:rsidR="008F4311" w:rsidRPr="00C03A20">
        <w:rPr>
          <w:rFonts w:ascii="Times New Roman" w:hAnsi="Times New Roman"/>
          <w:sz w:val="28"/>
          <w:szCs w:val="28"/>
          <w:lang w:val="sq-AL"/>
        </w:rPr>
        <w:t>ligji</w:t>
      </w:r>
      <w:r w:rsidR="00354823" w:rsidRPr="00C03A20">
        <w:rPr>
          <w:rFonts w:ascii="Times New Roman" w:hAnsi="Times New Roman"/>
          <w:sz w:val="28"/>
          <w:szCs w:val="28"/>
          <w:lang w:val="sq-AL"/>
        </w:rPr>
        <w:t>n p</w:t>
      </w:r>
      <w:r w:rsidR="00097D2F" w:rsidRPr="00C03A20">
        <w:rPr>
          <w:rFonts w:ascii="Times New Roman" w:hAnsi="Times New Roman"/>
          <w:sz w:val="28"/>
          <w:szCs w:val="28"/>
          <w:lang w:val="sq-AL"/>
        </w:rPr>
        <w:t>ë</w:t>
      </w:r>
      <w:r w:rsidR="00354823" w:rsidRPr="00C03A20">
        <w:rPr>
          <w:rFonts w:ascii="Times New Roman" w:hAnsi="Times New Roman"/>
          <w:sz w:val="28"/>
          <w:szCs w:val="28"/>
          <w:lang w:val="sq-AL"/>
        </w:rPr>
        <w:t>r arbitrazhin e</w:t>
      </w:r>
      <w:r w:rsidR="008F4311" w:rsidRPr="00C03A20">
        <w:rPr>
          <w:rFonts w:ascii="Times New Roman" w:hAnsi="Times New Roman"/>
          <w:sz w:val="28"/>
          <w:szCs w:val="28"/>
          <w:lang w:val="sq-AL"/>
        </w:rPr>
        <w:t xml:space="preserve"> Kroaci</w:t>
      </w:r>
      <w:r w:rsidR="00354823" w:rsidRPr="00C03A20">
        <w:rPr>
          <w:rFonts w:ascii="Times New Roman" w:hAnsi="Times New Roman"/>
          <w:sz w:val="28"/>
          <w:szCs w:val="28"/>
          <w:lang w:val="sq-AL"/>
        </w:rPr>
        <w:t>s</w:t>
      </w:r>
      <w:r w:rsidR="00097D2F" w:rsidRPr="00C03A20">
        <w:rPr>
          <w:rFonts w:ascii="Times New Roman" w:hAnsi="Times New Roman"/>
          <w:sz w:val="28"/>
          <w:szCs w:val="28"/>
          <w:lang w:val="sq-AL"/>
        </w:rPr>
        <w:t>ë</w:t>
      </w:r>
      <w:r w:rsidR="008F4311" w:rsidRPr="00C03A20">
        <w:rPr>
          <w:rFonts w:ascii="Times New Roman" w:hAnsi="Times New Roman"/>
          <w:sz w:val="28"/>
          <w:szCs w:val="28"/>
          <w:lang w:val="sq-AL"/>
        </w:rPr>
        <w:t xml:space="preserve"> dhe </w:t>
      </w:r>
      <w:r w:rsidR="00354823" w:rsidRPr="00C03A20">
        <w:rPr>
          <w:rFonts w:ascii="Times New Roman" w:hAnsi="Times New Roman"/>
          <w:sz w:val="28"/>
          <w:szCs w:val="28"/>
          <w:lang w:val="sq-AL"/>
        </w:rPr>
        <w:t>t</w:t>
      </w:r>
      <w:r w:rsidR="00097D2F" w:rsidRPr="00C03A20">
        <w:rPr>
          <w:rFonts w:ascii="Times New Roman" w:hAnsi="Times New Roman"/>
          <w:sz w:val="28"/>
          <w:szCs w:val="28"/>
          <w:lang w:val="sq-AL"/>
        </w:rPr>
        <w:t>ë</w:t>
      </w:r>
      <w:r w:rsidR="00354823" w:rsidRPr="00C03A20">
        <w:rPr>
          <w:rFonts w:ascii="Times New Roman" w:hAnsi="Times New Roman"/>
          <w:sz w:val="28"/>
          <w:szCs w:val="28"/>
          <w:lang w:val="sq-AL"/>
        </w:rPr>
        <w:t xml:space="preserve"> </w:t>
      </w:r>
      <w:r w:rsidR="008F4311" w:rsidRPr="00C03A20">
        <w:rPr>
          <w:rFonts w:ascii="Times New Roman" w:hAnsi="Times New Roman"/>
          <w:sz w:val="28"/>
          <w:szCs w:val="28"/>
          <w:lang w:val="sq-AL"/>
        </w:rPr>
        <w:t>Slloveni</w:t>
      </w:r>
      <w:r w:rsidR="00354823" w:rsidRPr="00C03A20">
        <w:rPr>
          <w:rFonts w:ascii="Times New Roman" w:hAnsi="Times New Roman"/>
          <w:sz w:val="28"/>
          <w:szCs w:val="28"/>
          <w:lang w:val="sq-AL"/>
        </w:rPr>
        <w:t>s</w:t>
      </w:r>
      <w:r w:rsidR="00097D2F" w:rsidRPr="00C03A20">
        <w:rPr>
          <w:rFonts w:ascii="Times New Roman" w:hAnsi="Times New Roman"/>
          <w:sz w:val="28"/>
          <w:szCs w:val="28"/>
          <w:lang w:val="sq-AL"/>
        </w:rPr>
        <w:t>ë</w:t>
      </w:r>
      <w:r w:rsidR="00354823" w:rsidRPr="00C03A20">
        <w:rPr>
          <w:rFonts w:ascii="Times New Roman" w:hAnsi="Times New Roman"/>
          <w:sz w:val="28"/>
          <w:szCs w:val="28"/>
          <w:lang w:val="sq-AL"/>
        </w:rPr>
        <w:t>.</w:t>
      </w:r>
    </w:p>
    <w:p w:rsidR="00D0596F" w:rsidRPr="00C03A20" w:rsidRDefault="00D0596F" w:rsidP="00C03A20">
      <w:pPr>
        <w:spacing w:after="0"/>
        <w:jc w:val="both"/>
        <w:rPr>
          <w:rFonts w:ascii="Times New Roman" w:hAnsi="Times New Roman"/>
          <w:spacing w:val="-4"/>
          <w:sz w:val="28"/>
          <w:szCs w:val="28"/>
          <w:lang w:val="sq-AL"/>
        </w:rPr>
      </w:pPr>
    </w:p>
    <w:p w:rsidR="00782134" w:rsidRPr="00C03A20" w:rsidRDefault="00782134" w:rsidP="00C03A20">
      <w:pPr>
        <w:spacing w:after="0"/>
        <w:jc w:val="both"/>
        <w:rPr>
          <w:rFonts w:ascii="Times New Roman" w:hAnsi="Times New Roman"/>
          <w:spacing w:val="-4"/>
          <w:sz w:val="28"/>
          <w:szCs w:val="28"/>
          <w:lang w:val="sq-AL"/>
        </w:rPr>
      </w:pPr>
      <w:r w:rsidRPr="00C03A20">
        <w:rPr>
          <w:rFonts w:ascii="Times New Roman" w:hAnsi="Times New Roman"/>
          <w:b/>
          <w:bCs/>
          <w:spacing w:val="-4"/>
          <w:sz w:val="28"/>
          <w:szCs w:val="28"/>
          <w:lang w:val="sq-AL"/>
        </w:rPr>
        <w:t>KREU II</w:t>
      </w:r>
      <w:r w:rsidRPr="00C03A20">
        <w:rPr>
          <w:rFonts w:ascii="Times New Roman" w:hAnsi="Times New Roman"/>
          <w:spacing w:val="-4"/>
          <w:sz w:val="28"/>
          <w:szCs w:val="28"/>
          <w:lang w:val="sq-AL"/>
        </w:rPr>
        <w:t xml:space="preserve"> “</w:t>
      </w:r>
      <w:r w:rsidR="00E5746A" w:rsidRPr="00C03A20">
        <w:rPr>
          <w:rFonts w:ascii="Times New Roman" w:hAnsi="Times New Roman"/>
          <w:i/>
          <w:iCs/>
          <w:spacing w:val="-4"/>
          <w:sz w:val="28"/>
          <w:szCs w:val="28"/>
          <w:lang w:val="sq-AL"/>
        </w:rPr>
        <w:t xml:space="preserve">Marrëveshja </w:t>
      </w:r>
      <w:r w:rsidR="00111DDC" w:rsidRPr="00C03A20">
        <w:rPr>
          <w:rFonts w:ascii="Times New Roman" w:hAnsi="Times New Roman"/>
          <w:i/>
          <w:iCs/>
          <w:spacing w:val="-4"/>
          <w:sz w:val="28"/>
          <w:szCs w:val="28"/>
          <w:lang w:val="sq-AL"/>
        </w:rPr>
        <w:t>e ar</w:t>
      </w:r>
      <w:r w:rsidR="00E5746A" w:rsidRPr="00C03A20">
        <w:rPr>
          <w:rFonts w:ascii="Times New Roman" w:hAnsi="Times New Roman"/>
          <w:i/>
          <w:iCs/>
          <w:spacing w:val="-4"/>
          <w:sz w:val="28"/>
          <w:szCs w:val="28"/>
          <w:lang w:val="sq-AL"/>
        </w:rPr>
        <w:t>bitrazhit</w:t>
      </w:r>
      <w:r w:rsidRPr="00C03A20">
        <w:rPr>
          <w:rFonts w:ascii="Times New Roman" w:hAnsi="Times New Roman"/>
          <w:spacing w:val="-4"/>
          <w:sz w:val="28"/>
          <w:szCs w:val="28"/>
          <w:lang w:val="sq-AL"/>
        </w:rPr>
        <w:t xml:space="preserve">” </w:t>
      </w:r>
      <w:r w:rsidR="001E39E1" w:rsidRPr="00C03A20">
        <w:rPr>
          <w:rFonts w:ascii="Times New Roman" w:hAnsi="Times New Roman"/>
          <w:spacing w:val="-4"/>
          <w:sz w:val="28"/>
          <w:szCs w:val="28"/>
          <w:lang w:val="sq-AL"/>
        </w:rPr>
        <w:t xml:space="preserve">normon rregullat </w:t>
      </w:r>
      <w:r w:rsidR="00EF0553" w:rsidRPr="00C03A20">
        <w:rPr>
          <w:rFonts w:ascii="Times New Roman" w:hAnsi="Times New Roman"/>
          <w:spacing w:val="-4"/>
          <w:sz w:val="28"/>
          <w:szCs w:val="28"/>
          <w:lang w:val="sq-AL"/>
        </w:rPr>
        <w:t>e zbatueshme p</w:t>
      </w:r>
      <w:r w:rsidR="006B0E72" w:rsidRPr="00C03A20">
        <w:rPr>
          <w:rFonts w:ascii="Times New Roman" w:hAnsi="Times New Roman"/>
          <w:spacing w:val="-4"/>
          <w:sz w:val="28"/>
          <w:szCs w:val="28"/>
          <w:lang w:val="sq-AL"/>
        </w:rPr>
        <w:t>ë</w:t>
      </w:r>
      <w:r w:rsidR="00EF0553" w:rsidRPr="00C03A20">
        <w:rPr>
          <w:rFonts w:ascii="Times New Roman" w:hAnsi="Times New Roman"/>
          <w:spacing w:val="-4"/>
          <w:sz w:val="28"/>
          <w:szCs w:val="28"/>
          <w:lang w:val="sq-AL"/>
        </w:rPr>
        <w:t>r lidhjen e marr</w:t>
      </w:r>
      <w:r w:rsidR="006B0E72" w:rsidRPr="00C03A20">
        <w:rPr>
          <w:rFonts w:ascii="Times New Roman" w:hAnsi="Times New Roman"/>
          <w:spacing w:val="-4"/>
          <w:sz w:val="28"/>
          <w:szCs w:val="28"/>
          <w:lang w:val="sq-AL"/>
        </w:rPr>
        <w:t>ë</w:t>
      </w:r>
      <w:r w:rsidR="00EF0553" w:rsidRPr="00C03A20">
        <w:rPr>
          <w:rFonts w:ascii="Times New Roman" w:hAnsi="Times New Roman"/>
          <w:spacing w:val="-4"/>
          <w:sz w:val="28"/>
          <w:szCs w:val="28"/>
          <w:lang w:val="sq-AL"/>
        </w:rPr>
        <w:t>veshjes s</w:t>
      </w:r>
      <w:r w:rsidR="006B0E72" w:rsidRPr="00C03A20">
        <w:rPr>
          <w:rFonts w:ascii="Times New Roman" w:hAnsi="Times New Roman"/>
          <w:spacing w:val="-4"/>
          <w:sz w:val="28"/>
          <w:szCs w:val="28"/>
          <w:lang w:val="sq-AL"/>
        </w:rPr>
        <w:t>ë</w:t>
      </w:r>
      <w:r w:rsidR="00EF0553" w:rsidRPr="00C03A20">
        <w:rPr>
          <w:rFonts w:ascii="Times New Roman" w:hAnsi="Times New Roman"/>
          <w:spacing w:val="-4"/>
          <w:sz w:val="28"/>
          <w:szCs w:val="28"/>
          <w:lang w:val="sq-AL"/>
        </w:rPr>
        <w:t xml:space="preserve"> arbitrazhit</w:t>
      </w:r>
      <w:r w:rsidR="00113CB8" w:rsidRPr="00C03A20">
        <w:rPr>
          <w:rFonts w:ascii="Times New Roman" w:hAnsi="Times New Roman"/>
          <w:spacing w:val="-4"/>
          <w:sz w:val="28"/>
          <w:szCs w:val="28"/>
          <w:lang w:val="sq-AL"/>
        </w:rPr>
        <w:t xml:space="preserve">, </w:t>
      </w:r>
      <w:r w:rsidR="000C346C" w:rsidRPr="00C03A20">
        <w:rPr>
          <w:rFonts w:ascii="Times New Roman" w:hAnsi="Times New Roman"/>
          <w:spacing w:val="-4"/>
          <w:sz w:val="28"/>
          <w:szCs w:val="28"/>
          <w:lang w:val="sq-AL"/>
        </w:rPr>
        <w:t>p</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rfshir</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 xml:space="preserve"> pal</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t dhe objektin e marr</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veshjes q</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 xml:space="preserve"> mund t</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 xml:space="preserve"> lidhet midis tyre, form</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n e marr</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veshjes s</w:t>
      </w:r>
      <w:r w:rsidR="006B0E72" w:rsidRPr="00C03A20">
        <w:rPr>
          <w:rFonts w:ascii="Times New Roman" w:hAnsi="Times New Roman"/>
          <w:spacing w:val="-4"/>
          <w:sz w:val="28"/>
          <w:szCs w:val="28"/>
          <w:lang w:val="sq-AL"/>
        </w:rPr>
        <w:t>ë</w:t>
      </w:r>
      <w:r w:rsidR="000C346C" w:rsidRPr="00C03A20">
        <w:rPr>
          <w:rFonts w:ascii="Times New Roman" w:hAnsi="Times New Roman"/>
          <w:spacing w:val="-4"/>
          <w:sz w:val="28"/>
          <w:szCs w:val="28"/>
          <w:lang w:val="sq-AL"/>
        </w:rPr>
        <w:t xml:space="preserve"> arbitrazhit</w:t>
      </w:r>
      <w:r w:rsidR="00947315" w:rsidRPr="00C03A20">
        <w:rPr>
          <w:rFonts w:ascii="Times New Roman" w:hAnsi="Times New Roman"/>
          <w:spacing w:val="-4"/>
          <w:sz w:val="28"/>
          <w:szCs w:val="28"/>
          <w:lang w:val="sq-AL"/>
        </w:rPr>
        <w:t xml:space="preserve"> dhe juridiksionin e rolin e gjykat</w:t>
      </w:r>
      <w:r w:rsidR="006B0E72" w:rsidRPr="00C03A20">
        <w:rPr>
          <w:rFonts w:ascii="Times New Roman" w:hAnsi="Times New Roman"/>
          <w:spacing w:val="-4"/>
          <w:sz w:val="28"/>
          <w:szCs w:val="28"/>
          <w:lang w:val="sq-AL"/>
        </w:rPr>
        <w:t>ë</w:t>
      </w:r>
      <w:r w:rsidR="00947315" w:rsidRPr="00C03A20">
        <w:rPr>
          <w:rFonts w:ascii="Times New Roman" w:hAnsi="Times New Roman"/>
          <w:spacing w:val="-4"/>
          <w:sz w:val="28"/>
          <w:szCs w:val="28"/>
          <w:lang w:val="sq-AL"/>
        </w:rPr>
        <w:t xml:space="preserve">s </w:t>
      </w:r>
      <w:r w:rsidR="00E52FB4" w:rsidRPr="00C03A20">
        <w:rPr>
          <w:rFonts w:ascii="Times New Roman" w:hAnsi="Times New Roman"/>
          <w:spacing w:val="-4"/>
          <w:sz w:val="28"/>
          <w:szCs w:val="28"/>
          <w:lang w:val="sq-AL"/>
        </w:rPr>
        <w:t>n</w:t>
      </w:r>
      <w:r w:rsidR="006B0E72" w:rsidRPr="00C03A20">
        <w:rPr>
          <w:rFonts w:ascii="Times New Roman" w:hAnsi="Times New Roman"/>
          <w:spacing w:val="-4"/>
          <w:sz w:val="28"/>
          <w:szCs w:val="28"/>
          <w:lang w:val="sq-AL"/>
        </w:rPr>
        <w:t>ë</w:t>
      </w:r>
      <w:r w:rsidR="00E52FB4" w:rsidRPr="00C03A20">
        <w:rPr>
          <w:rFonts w:ascii="Times New Roman" w:hAnsi="Times New Roman"/>
          <w:spacing w:val="-4"/>
          <w:sz w:val="28"/>
          <w:szCs w:val="28"/>
          <w:lang w:val="sq-AL"/>
        </w:rPr>
        <w:t xml:space="preserve"> </w:t>
      </w:r>
      <w:r w:rsidR="00214BAF" w:rsidRPr="00C03A20">
        <w:rPr>
          <w:rFonts w:ascii="Times New Roman" w:hAnsi="Times New Roman"/>
          <w:spacing w:val="-4"/>
          <w:sz w:val="28"/>
          <w:szCs w:val="28"/>
          <w:lang w:val="sq-AL"/>
        </w:rPr>
        <w:t>shqyrtimin e vlefshm</w:t>
      </w:r>
      <w:r w:rsidR="006B0E72" w:rsidRPr="00C03A20">
        <w:rPr>
          <w:rFonts w:ascii="Times New Roman" w:hAnsi="Times New Roman"/>
          <w:spacing w:val="-4"/>
          <w:sz w:val="28"/>
          <w:szCs w:val="28"/>
          <w:lang w:val="sq-AL"/>
        </w:rPr>
        <w:t>ë</w:t>
      </w:r>
      <w:r w:rsidR="00214BAF" w:rsidRPr="00C03A20">
        <w:rPr>
          <w:rFonts w:ascii="Times New Roman" w:hAnsi="Times New Roman"/>
          <w:spacing w:val="-4"/>
          <w:sz w:val="28"/>
          <w:szCs w:val="28"/>
          <w:lang w:val="sq-AL"/>
        </w:rPr>
        <w:t>ris</w:t>
      </w:r>
      <w:r w:rsidR="006B0E72" w:rsidRPr="00C03A20">
        <w:rPr>
          <w:rFonts w:ascii="Times New Roman" w:hAnsi="Times New Roman"/>
          <w:spacing w:val="-4"/>
          <w:sz w:val="28"/>
          <w:szCs w:val="28"/>
          <w:lang w:val="sq-AL"/>
        </w:rPr>
        <w:t>ë</w:t>
      </w:r>
      <w:r w:rsidR="00214BAF" w:rsidRPr="00C03A20">
        <w:rPr>
          <w:rFonts w:ascii="Times New Roman" w:hAnsi="Times New Roman"/>
          <w:spacing w:val="-4"/>
          <w:sz w:val="28"/>
          <w:szCs w:val="28"/>
          <w:lang w:val="sq-AL"/>
        </w:rPr>
        <w:t xml:space="preserve"> </w:t>
      </w:r>
      <w:r w:rsidR="00004B81" w:rsidRPr="00C03A20">
        <w:rPr>
          <w:rFonts w:ascii="Times New Roman" w:hAnsi="Times New Roman"/>
          <w:spacing w:val="-4"/>
          <w:sz w:val="28"/>
          <w:szCs w:val="28"/>
          <w:lang w:val="sq-AL"/>
        </w:rPr>
        <w:t>s</w:t>
      </w:r>
      <w:r w:rsidR="006B0E72" w:rsidRPr="00C03A20">
        <w:rPr>
          <w:rFonts w:ascii="Times New Roman" w:hAnsi="Times New Roman"/>
          <w:spacing w:val="-4"/>
          <w:sz w:val="28"/>
          <w:szCs w:val="28"/>
          <w:lang w:val="sq-AL"/>
        </w:rPr>
        <w:t>ë</w:t>
      </w:r>
      <w:r w:rsidR="00004B81" w:rsidRPr="00C03A20">
        <w:rPr>
          <w:rFonts w:ascii="Times New Roman" w:hAnsi="Times New Roman"/>
          <w:spacing w:val="-4"/>
          <w:sz w:val="28"/>
          <w:szCs w:val="28"/>
          <w:lang w:val="sq-AL"/>
        </w:rPr>
        <w:t xml:space="preserve"> marr</w:t>
      </w:r>
      <w:r w:rsidR="006B0E72" w:rsidRPr="00C03A20">
        <w:rPr>
          <w:rFonts w:ascii="Times New Roman" w:hAnsi="Times New Roman"/>
          <w:spacing w:val="-4"/>
          <w:sz w:val="28"/>
          <w:szCs w:val="28"/>
          <w:lang w:val="sq-AL"/>
        </w:rPr>
        <w:t>ë</w:t>
      </w:r>
      <w:r w:rsidR="00004B81" w:rsidRPr="00C03A20">
        <w:rPr>
          <w:rFonts w:ascii="Times New Roman" w:hAnsi="Times New Roman"/>
          <w:spacing w:val="-4"/>
          <w:sz w:val="28"/>
          <w:szCs w:val="28"/>
          <w:lang w:val="sq-AL"/>
        </w:rPr>
        <w:t>veshjes s</w:t>
      </w:r>
      <w:r w:rsidR="006B0E72" w:rsidRPr="00C03A20">
        <w:rPr>
          <w:rFonts w:ascii="Times New Roman" w:hAnsi="Times New Roman"/>
          <w:spacing w:val="-4"/>
          <w:sz w:val="28"/>
          <w:szCs w:val="28"/>
          <w:lang w:val="sq-AL"/>
        </w:rPr>
        <w:t>ë</w:t>
      </w:r>
      <w:r w:rsidR="00004B81" w:rsidRPr="00C03A20">
        <w:rPr>
          <w:rFonts w:ascii="Times New Roman" w:hAnsi="Times New Roman"/>
          <w:spacing w:val="-4"/>
          <w:sz w:val="28"/>
          <w:szCs w:val="28"/>
          <w:lang w:val="sq-AL"/>
        </w:rPr>
        <w:t xml:space="preserve"> arbitrazhit.</w:t>
      </w:r>
    </w:p>
    <w:p w:rsidR="00782134" w:rsidRPr="00C03A20" w:rsidRDefault="00782134" w:rsidP="00C03A20">
      <w:pPr>
        <w:spacing w:after="0"/>
        <w:jc w:val="both"/>
        <w:rPr>
          <w:rFonts w:ascii="Times New Roman" w:hAnsi="Times New Roman"/>
          <w:spacing w:val="-4"/>
          <w:sz w:val="28"/>
          <w:szCs w:val="28"/>
          <w:lang w:val="sq-AL"/>
        </w:rPr>
      </w:pPr>
    </w:p>
    <w:p w:rsidR="004E5061" w:rsidRPr="00C03A20" w:rsidRDefault="000E1C68"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 xml:space="preserve">Neni </w:t>
      </w:r>
      <w:r w:rsidR="00237902" w:rsidRPr="00C03A20">
        <w:rPr>
          <w:rFonts w:ascii="Times New Roman" w:hAnsi="Times New Roman"/>
          <w:spacing w:val="-4"/>
          <w:sz w:val="28"/>
          <w:szCs w:val="28"/>
          <w:lang w:val="sq-AL"/>
        </w:rPr>
        <w:t>10,</w:t>
      </w:r>
      <w:r w:rsidRPr="00C03A20">
        <w:rPr>
          <w:rFonts w:ascii="Times New Roman" w:hAnsi="Times New Roman"/>
          <w:spacing w:val="-4"/>
          <w:sz w:val="28"/>
          <w:szCs w:val="28"/>
          <w:lang w:val="sq-AL"/>
        </w:rPr>
        <w:t xml:space="preserve"> i projektligjit </w:t>
      </w:r>
      <w:r w:rsidR="00DA382F" w:rsidRPr="00C03A20">
        <w:rPr>
          <w:rFonts w:ascii="Times New Roman" w:hAnsi="Times New Roman"/>
          <w:spacing w:val="-4"/>
          <w:sz w:val="28"/>
          <w:szCs w:val="28"/>
          <w:lang w:val="sq-AL"/>
        </w:rPr>
        <w:t>parashikon rregulla t</w:t>
      </w:r>
      <w:r w:rsidR="006B0E72" w:rsidRPr="00C03A20">
        <w:rPr>
          <w:rFonts w:ascii="Times New Roman" w:hAnsi="Times New Roman"/>
          <w:spacing w:val="-4"/>
          <w:sz w:val="28"/>
          <w:szCs w:val="28"/>
          <w:lang w:val="sq-AL"/>
        </w:rPr>
        <w:t>ë</w:t>
      </w:r>
      <w:r w:rsidR="00DA382F" w:rsidRPr="00C03A20">
        <w:rPr>
          <w:rFonts w:ascii="Times New Roman" w:hAnsi="Times New Roman"/>
          <w:spacing w:val="-4"/>
          <w:sz w:val="28"/>
          <w:szCs w:val="28"/>
          <w:lang w:val="sq-AL"/>
        </w:rPr>
        <w:t xml:space="preserve"> </w:t>
      </w:r>
      <w:r w:rsidR="00F3009C" w:rsidRPr="00C03A20">
        <w:rPr>
          <w:rFonts w:ascii="Times New Roman" w:hAnsi="Times New Roman"/>
          <w:spacing w:val="-4"/>
          <w:sz w:val="28"/>
          <w:szCs w:val="28"/>
          <w:lang w:val="sq-AL"/>
        </w:rPr>
        <w:t>posaçme mbi</w:t>
      </w:r>
      <w:r w:rsidR="004E5061" w:rsidRPr="00C03A20">
        <w:rPr>
          <w:rFonts w:ascii="Times New Roman" w:hAnsi="Times New Roman"/>
          <w:spacing w:val="-4"/>
          <w:sz w:val="28"/>
          <w:szCs w:val="28"/>
          <w:lang w:val="sq-AL"/>
        </w:rPr>
        <w:t xml:space="preserve"> form</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 xml:space="preserve">n e </w:t>
      </w:r>
      <w:r w:rsidR="00A702C2" w:rsidRPr="00C03A20">
        <w:rPr>
          <w:rFonts w:ascii="Times New Roman" w:hAnsi="Times New Roman"/>
          <w:spacing w:val="-4"/>
          <w:sz w:val="28"/>
          <w:szCs w:val="28"/>
          <w:lang w:val="sq-AL"/>
        </w:rPr>
        <w:t>k</w:t>
      </w:r>
      <w:r w:rsidR="006B0E72" w:rsidRPr="00C03A20">
        <w:rPr>
          <w:rFonts w:ascii="Times New Roman" w:hAnsi="Times New Roman"/>
          <w:spacing w:val="-4"/>
          <w:sz w:val="28"/>
          <w:szCs w:val="28"/>
          <w:lang w:val="sq-AL"/>
        </w:rPr>
        <w:t>ë</w:t>
      </w:r>
      <w:r w:rsidR="00A702C2" w:rsidRPr="00C03A20">
        <w:rPr>
          <w:rFonts w:ascii="Times New Roman" w:hAnsi="Times New Roman"/>
          <w:spacing w:val="-4"/>
          <w:sz w:val="28"/>
          <w:szCs w:val="28"/>
          <w:lang w:val="sq-AL"/>
        </w:rPr>
        <w:t xml:space="preserve">rkuar </w:t>
      </w:r>
      <w:r w:rsidR="006D10AB" w:rsidRPr="00C03A20">
        <w:rPr>
          <w:rFonts w:ascii="Times New Roman" w:hAnsi="Times New Roman"/>
          <w:spacing w:val="-4"/>
          <w:sz w:val="28"/>
          <w:szCs w:val="28"/>
          <w:lang w:val="sq-AL"/>
        </w:rPr>
        <w:t>p</w:t>
      </w:r>
      <w:r w:rsidR="006B0E72" w:rsidRPr="00C03A20">
        <w:rPr>
          <w:rFonts w:ascii="Times New Roman" w:hAnsi="Times New Roman"/>
          <w:spacing w:val="-4"/>
          <w:sz w:val="28"/>
          <w:szCs w:val="28"/>
          <w:lang w:val="sq-AL"/>
        </w:rPr>
        <w:t>ë</w:t>
      </w:r>
      <w:r w:rsidR="006D10AB" w:rsidRPr="00C03A20">
        <w:rPr>
          <w:rFonts w:ascii="Times New Roman" w:hAnsi="Times New Roman"/>
          <w:spacing w:val="-4"/>
          <w:sz w:val="28"/>
          <w:szCs w:val="28"/>
          <w:lang w:val="sq-AL"/>
        </w:rPr>
        <w:t xml:space="preserve">r </w:t>
      </w:r>
      <w:r w:rsidR="00630464" w:rsidRPr="00C03A20">
        <w:rPr>
          <w:rFonts w:ascii="Times New Roman" w:hAnsi="Times New Roman"/>
          <w:spacing w:val="-4"/>
          <w:sz w:val="28"/>
          <w:szCs w:val="28"/>
          <w:lang w:val="sq-AL"/>
        </w:rPr>
        <w:t>lidhjen e ma</w:t>
      </w:r>
      <w:r w:rsidR="004E5061" w:rsidRPr="00C03A20">
        <w:rPr>
          <w:rFonts w:ascii="Times New Roman" w:hAnsi="Times New Roman"/>
          <w:spacing w:val="-4"/>
          <w:sz w:val="28"/>
          <w:szCs w:val="28"/>
          <w:lang w:val="sq-AL"/>
        </w:rPr>
        <w:t>rrëveshj</w:t>
      </w:r>
      <w:r w:rsidR="00630464" w:rsidRPr="00C03A20">
        <w:rPr>
          <w:rFonts w:ascii="Times New Roman" w:hAnsi="Times New Roman"/>
          <w:spacing w:val="-4"/>
          <w:sz w:val="28"/>
          <w:szCs w:val="28"/>
          <w:lang w:val="sq-AL"/>
        </w:rPr>
        <w:t>es</w:t>
      </w:r>
      <w:r w:rsidR="004E5061" w:rsidRPr="00C03A20">
        <w:rPr>
          <w:rFonts w:ascii="Times New Roman" w:hAnsi="Times New Roman"/>
          <w:spacing w:val="-4"/>
          <w:sz w:val="28"/>
          <w:szCs w:val="28"/>
          <w:lang w:val="sq-AL"/>
        </w:rPr>
        <w:t xml:space="preserve"> </w:t>
      </w:r>
      <w:r w:rsidR="00630464" w:rsidRPr="00C03A20">
        <w:rPr>
          <w:rFonts w:ascii="Times New Roman" w:hAnsi="Times New Roman"/>
          <w:spacing w:val="-4"/>
          <w:sz w:val="28"/>
          <w:szCs w:val="28"/>
          <w:lang w:val="sq-AL"/>
        </w:rPr>
        <w:t>s</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 xml:space="preserve"> arbitrazhit</w:t>
      </w:r>
      <w:r w:rsidR="005E5449" w:rsidRPr="00C03A20">
        <w:rPr>
          <w:rFonts w:ascii="Times New Roman" w:hAnsi="Times New Roman"/>
          <w:spacing w:val="-4"/>
          <w:sz w:val="28"/>
          <w:szCs w:val="28"/>
          <w:lang w:val="sq-AL"/>
        </w:rPr>
        <w:t>, e cila duhet t</w:t>
      </w:r>
      <w:r w:rsidR="006B0E72" w:rsidRPr="00C03A20">
        <w:rPr>
          <w:rFonts w:ascii="Times New Roman" w:hAnsi="Times New Roman"/>
          <w:spacing w:val="-4"/>
          <w:sz w:val="28"/>
          <w:szCs w:val="28"/>
          <w:lang w:val="sq-AL"/>
        </w:rPr>
        <w:t>ë</w:t>
      </w:r>
      <w:r w:rsidR="005E5449" w:rsidRPr="00C03A20">
        <w:rPr>
          <w:rFonts w:ascii="Times New Roman" w:hAnsi="Times New Roman"/>
          <w:spacing w:val="-4"/>
          <w:sz w:val="28"/>
          <w:szCs w:val="28"/>
          <w:lang w:val="sq-AL"/>
        </w:rPr>
        <w:t xml:space="preserve"> </w:t>
      </w:r>
      <w:r w:rsidR="004E5061" w:rsidRPr="00C03A20">
        <w:rPr>
          <w:rFonts w:ascii="Times New Roman" w:hAnsi="Times New Roman"/>
          <w:spacing w:val="-4"/>
          <w:sz w:val="28"/>
          <w:szCs w:val="28"/>
          <w:lang w:val="sq-AL"/>
        </w:rPr>
        <w:t xml:space="preserve">bëhet me shkrim. </w:t>
      </w:r>
      <w:r w:rsidR="005E5449" w:rsidRPr="00C03A20">
        <w:rPr>
          <w:rFonts w:ascii="Times New Roman" w:hAnsi="Times New Roman"/>
          <w:spacing w:val="-4"/>
          <w:sz w:val="28"/>
          <w:szCs w:val="28"/>
          <w:lang w:val="sq-AL"/>
        </w:rPr>
        <w:t>Veçantia e k</w:t>
      </w:r>
      <w:r w:rsidR="006B0E72" w:rsidRPr="00C03A20">
        <w:rPr>
          <w:rFonts w:ascii="Times New Roman" w:hAnsi="Times New Roman"/>
          <w:spacing w:val="-4"/>
          <w:sz w:val="28"/>
          <w:szCs w:val="28"/>
          <w:lang w:val="sq-AL"/>
        </w:rPr>
        <w:t>ë</w:t>
      </w:r>
      <w:r w:rsidR="005E5449" w:rsidRPr="00C03A20">
        <w:rPr>
          <w:rFonts w:ascii="Times New Roman" w:hAnsi="Times New Roman"/>
          <w:spacing w:val="-4"/>
          <w:sz w:val="28"/>
          <w:szCs w:val="28"/>
          <w:lang w:val="sq-AL"/>
        </w:rPr>
        <w:t xml:space="preserve">tij neni </w:t>
      </w:r>
      <w:r w:rsidR="006B0E72" w:rsidRPr="00C03A20">
        <w:rPr>
          <w:rFonts w:ascii="Times New Roman" w:hAnsi="Times New Roman"/>
          <w:spacing w:val="-4"/>
          <w:sz w:val="28"/>
          <w:szCs w:val="28"/>
          <w:lang w:val="sq-AL"/>
        </w:rPr>
        <w:t>ë</w:t>
      </w:r>
      <w:r w:rsidR="005E5449" w:rsidRPr="00C03A20">
        <w:rPr>
          <w:rFonts w:ascii="Times New Roman" w:hAnsi="Times New Roman"/>
          <w:spacing w:val="-4"/>
          <w:sz w:val="28"/>
          <w:szCs w:val="28"/>
          <w:lang w:val="sq-AL"/>
        </w:rPr>
        <w:t>sht</w:t>
      </w:r>
      <w:r w:rsidR="006B0E72" w:rsidRPr="00C03A20">
        <w:rPr>
          <w:rFonts w:ascii="Times New Roman" w:hAnsi="Times New Roman"/>
          <w:spacing w:val="-4"/>
          <w:sz w:val="28"/>
          <w:szCs w:val="28"/>
          <w:lang w:val="sq-AL"/>
        </w:rPr>
        <w:t>ë</w:t>
      </w:r>
      <w:r w:rsidR="005E5449" w:rsidRPr="00C03A20">
        <w:rPr>
          <w:rFonts w:ascii="Times New Roman" w:hAnsi="Times New Roman"/>
          <w:spacing w:val="-4"/>
          <w:sz w:val="28"/>
          <w:szCs w:val="28"/>
          <w:lang w:val="sq-AL"/>
        </w:rPr>
        <w:t xml:space="preserve"> q</w:t>
      </w:r>
      <w:r w:rsidR="006B0E72" w:rsidRPr="00C03A20">
        <w:rPr>
          <w:rFonts w:ascii="Times New Roman" w:hAnsi="Times New Roman"/>
          <w:spacing w:val="-4"/>
          <w:sz w:val="28"/>
          <w:szCs w:val="28"/>
          <w:lang w:val="sq-AL"/>
        </w:rPr>
        <w:t>ë</w:t>
      </w:r>
      <w:r w:rsidR="005E5449" w:rsidRPr="00C03A20">
        <w:rPr>
          <w:rFonts w:ascii="Times New Roman" w:hAnsi="Times New Roman"/>
          <w:spacing w:val="-4"/>
          <w:sz w:val="28"/>
          <w:szCs w:val="28"/>
          <w:lang w:val="sq-AL"/>
        </w:rPr>
        <w:t xml:space="preserve"> parashikon rregulla t</w:t>
      </w:r>
      <w:r w:rsidR="006B0E72" w:rsidRPr="00C03A20">
        <w:rPr>
          <w:rFonts w:ascii="Times New Roman" w:hAnsi="Times New Roman"/>
          <w:spacing w:val="-4"/>
          <w:sz w:val="28"/>
          <w:szCs w:val="28"/>
          <w:lang w:val="sq-AL"/>
        </w:rPr>
        <w:t>ë</w:t>
      </w:r>
      <w:r w:rsidR="005E5449" w:rsidRPr="00C03A20">
        <w:rPr>
          <w:rFonts w:ascii="Times New Roman" w:hAnsi="Times New Roman"/>
          <w:spacing w:val="-4"/>
          <w:sz w:val="28"/>
          <w:szCs w:val="28"/>
          <w:lang w:val="sq-AL"/>
        </w:rPr>
        <w:t xml:space="preserve"> detajuara </w:t>
      </w:r>
      <w:r w:rsidR="00BA25E1" w:rsidRPr="00C03A20">
        <w:rPr>
          <w:rFonts w:ascii="Times New Roman" w:hAnsi="Times New Roman"/>
          <w:spacing w:val="-4"/>
          <w:sz w:val="28"/>
          <w:szCs w:val="28"/>
          <w:lang w:val="sq-AL"/>
        </w:rPr>
        <w:t>p</w:t>
      </w:r>
      <w:r w:rsidR="006B0E72" w:rsidRPr="00C03A20">
        <w:rPr>
          <w:rFonts w:ascii="Times New Roman" w:hAnsi="Times New Roman"/>
          <w:spacing w:val="-4"/>
          <w:sz w:val="28"/>
          <w:szCs w:val="28"/>
          <w:lang w:val="sq-AL"/>
        </w:rPr>
        <w:t>ë</w:t>
      </w:r>
      <w:r w:rsidR="00BA25E1" w:rsidRPr="00C03A20">
        <w:rPr>
          <w:rFonts w:ascii="Times New Roman" w:hAnsi="Times New Roman"/>
          <w:spacing w:val="-4"/>
          <w:sz w:val="28"/>
          <w:szCs w:val="28"/>
          <w:lang w:val="sq-AL"/>
        </w:rPr>
        <w:t>r form</w:t>
      </w:r>
      <w:r w:rsidR="006B0E72" w:rsidRPr="00C03A20">
        <w:rPr>
          <w:rFonts w:ascii="Times New Roman" w:hAnsi="Times New Roman"/>
          <w:spacing w:val="-4"/>
          <w:sz w:val="28"/>
          <w:szCs w:val="28"/>
          <w:lang w:val="sq-AL"/>
        </w:rPr>
        <w:t>ë</w:t>
      </w:r>
      <w:r w:rsidR="00BA25E1" w:rsidRPr="00C03A20">
        <w:rPr>
          <w:rFonts w:ascii="Times New Roman" w:hAnsi="Times New Roman"/>
          <w:spacing w:val="-4"/>
          <w:sz w:val="28"/>
          <w:szCs w:val="28"/>
          <w:lang w:val="sq-AL"/>
        </w:rPr>
        <w:t>n e marr</w:t>
      </w:r>
      <w:r w:rsidR="006B0E72" w:rsidRPr="00C03A20">
        <w:rPr>
          <w:rFonts w:ascii="Times New Roman" w:hAnsi="Times New Roman"/>
          <w:spacing w:val="-4"/>
          <w:sz w:val="28"/>
          <w:szCs w:val="28"/>
          <w:lang w:val="sq-AL"/>
        </w:rPr>
        <w:t>ë</w:t>
      </w:r>
      <w:r w:rsidR="00BA25E1" w:rsidRPr="00C03A20">
        <w:rPr>
          <w:rFonts w:ascii="Times New Roman" w:hAnsi="Times New Roman"/>
          <w:spacing w:val="-4"/>
          <w:sz w:val="28"/>
          <w:szCs w:val="28"/>
          <w:lang w:val="sq-AL"/>
        </w:rPr>
        <w:t>veshjes n</w:t>
      </w:r>
      <w:r w:rsidR="006B0E72" w:rsidRPr="00C03A20">
        <w:rPr>
          <w:rFonts w:ascii="Times New Roman" w:hAnsi="Times New Roman"/>
          <w:spacing w:val="-4"/>
          <w:sz w:val="28"/>
          <w:szCs w:val="28"/>
          <w:lang w:val="sq-AL"/>
        </w:rPr>
        <w:t>ë</w:t>
      </w:r>
      <w:r w:rsidR="00BA25E1" w:rsidRPr="00C03A20">
        <w:rPr>
          <w:rFonts w:ascii="Times New Roman" w:hAnsi="Times New Roman"/>
          <w:spacing w:val="-4"/>
          <w:sz w:val="28"/>
          <w:szCs w:val="28"/>
          <w:lang w:val="sq-AL"/>
        </w:rPr>
        <w:t xml:space="preserve"> p</w:t>
      </w:r>
      <w:r w:rsidR="006B0E72" w:rsidRPr="00C03A20">
        <w:rPr>
          <w:rFonts w:ascii="Times New Roman" w:hAnsi="Times New Roman"/>
          <w:spacing w:val="-4"/>
          <w:sz w:val="28"/>
          <w:szCs w:val="28"/>
          <w:lang w:val="sq-AL"/>
        </w:rPr>
        <w:t>ë</w:t>
      </w:r>
      <w:r w:rsidR="00BA25E1" w:rsidRPr="00C03A20">
        <w:rPr>
          <w:rFonts w:ascii="Times New Roman" w:hAnsi="Times New Roman"/>
          <w:spacing w:val="-4"/>
          <w:sz w:val="28"/>
          <w:szCs w:val="28"/>
          <w:lang w:val="sq-AL"/>
        </w:rPr>
        <w:t xml:space="preserve">rputhje me parashikimet e nenit </w:t>
      </w:r>
      <w:r w:rsidR="00DC2CDF" w:rsidRPr="00C03A20">
        <w:rPr>
          <w:rFonts w:ascii="Times New Roman" w:hAnsi="Times New Roman"/>
          <w:spacing w:val="-4"/>
          <w:sz w:val="28"/>
          <w:szCs w:val="28"/>
          <w:lang w:val="sq-AL"/>
        </w:rPr>
        <w:t>7 t</w:t>
      </w:r>
      <w:r w:rsidR="006B0E72" w:rsidRPr="00C03A20">
        <w:rPr>
          <w:rFonts w:ascii="Times New Roman" w:hAnsi="Times New Roman"/>
          <w:spacing w:val="-4"/>
          <w:sz w:val="28"/>
          <w:szCs w:val="28"/>
          <w:lang w:val="sq-AL"/>
        </w:rPr>
        <w:t>ë</w:t>
      </w:r>
      <w:r w:rsidR="00DC2CDF" w:rsidRPr="00C03A20">
        <w:rPr>
          <w:rFonts w:ascii="Times New Roman" w:hAnsi="Times New Roman"/>
          <w:spacing w:val="-4"/>
          <w:sz w:val="28"/>
          <w:szCs w:val="28"/>
          <w:lang w:val="sq-AL"/>
        </w:rPr>
        <w:t xml:space="preserve"> ligjit model t</w:t>
      </w:r>
      <w:r w:rsidR="006B0E72" w:rsidRPr="00C03A20">
        <w:rPr>
          <w:rFonts w:ascii="Times New Roman" w:hAnsi="Times New Roman"/>
          <w:spacing w:val="-4"/>
          <w:sz w:val="28"/>
          <w:szCs w:val="28"/>
          <w:lang w:val="sq-AL"/>
        </w:rPr>
        <w:t>ë</w:t>
      </w:r>
      <w:r w:rsidR="00DC2CDF" w:rsidRPr="00C03A20">
        <w:rPr>
          <w:rFonts w:ascii="Times New Roman" w:hAnsi="Times New Roman"/>
          <w:spacing w:val="-4"/>
          <w:sz w:val="28"/>
          <w:szCs w:val="28"/>
          <w:lang w:val="sq-AL"/>
        </w:rPr>
        <w:t xml:space="preserve"> UNCITRAL</w:t>
      </w:r>
      <w:r w:rsidR="00EB1DE1" w:rsidRPr="00C03A20">
        <w:rPr>
          <w:rFonts w:ascii="Times New Roman" w:hAnsi="Times New Roman"/>
          <w:spacing w:val="-4"/>
          <w:sz w:val="28"/>
          <w:szCs w:val="28"/>
          <w:lang w:val="sq-AL"/>
        </w:rPr>
        <w:t>, t</w:t>
      </w:r>
      <w:r w:rsidR="006B0E72" w:rsidRPr="00C03A20">
        <w:rPr>
          <w:rFonts w:ascii="Times New Roman" w:hAnsi="Times New Roman"/>
          <w:spacing w:val="-4"/>
          <w:sz w:val="28"/>
          <w:szCs w:val="28"/>
          <w:lang w:val="sq-AL"/>
        </w:rPr>
        <w:t>ë</w:t>
      </w:r>
      <w:r w:rsidR="00EB1DE1" w:rsidRPr="00C03A20">
        <w:rPr>
          <w:rFonts w:ascii="Times New Roman" w:hAnsi="Times New Roman"/>
          <w:spacing w:val="-4"/>
          <w:sz w:val="28"/>
          <w:szCs w:val="28"/>
          <w:lang w:val="sq-AL"/>
        </w:rPr>
        <w:t xml:space="preserve"> cilat </w:t>
      </w:r>
      <w:r w:rsidR="008F3DB0" w:rsidRPr="00C03A20">
        <w:rPr>
          <w:rFonts w:ascii="Times New Roman" w:hAnsi="Times New Roman"/>
          <w:spacing w:val="-4"/>
          <w:sz w:val="28"/>
          <w:szCs w:val="28"/>
          <w:lang w:val="sq-AL"/>
        </w:rPr>
        <w:t>plot</w:t>
      </w:r>
      <w:r w:rsidR="006B0E72" w:rsidRPr="00C03A20">
        <w:rPr>
          <w:rFonts w:ascii="Times New Roman" w:hAnsi="Times New Roman"/>
          <w:spacing w:val="-4"/>
          <w:sz w:val="28"/>
          <w:szCs w:val="28"/>
          <w:lang w:val="sq-AL"/>
        </w:rPr>
        <w:t>ë</w:t>
      </w:r>
      <w:r w:rsidR="008F3DB0" w:rsidRPr="00C03A20">
        <w:rPr>
          <w:rFonts w:ascii="Times New Roman" w:hAnsi="Times New Roman"/>
          <w:spacing w:val="-4"/>
          <w:sz w:val="28"/>
          <w:szCs w:val="28"/>
          <w:lang w:val="sq-AL"/>
        </w:rPr>
        <w:t>sojn</w:t>
      </w:r>
      <w:r w:rsidR="006B0E72" w:rsidRPr="00C03A20">
        <w:rPr>
          <w:rFonts w:ascii="Times New Roman" w:hAnsi="Times New Roman"/>
          <w:spacing w:val="-4"/>
          <w:sz w:val="28"/>
          <w:szCs w:val="28"/>
          <w:lang w:val="sq-AL"/>
        </w:rPr>
        <w:t>ë</w:t>
      </w:r>
      <w:r w:rsidR="008F3DB0" w:rsidRPr="00C03A20">
        <w:rPr>
          <w:rFonts w:ascii="Times New Roman" w:hAnsi="Times New Roman"/>
          <w:spacing w:val="-4"/>
          <w:sz w:val="28"/>
          <w:szCs w:val="28"/>
          <w:lang w:val="sq-AL"/>
        </w:rPr>
        <w:t xml:space="preserve"> </w:t>
      </w:r>
      <w:r w:rsidR="003E5F5F" w:rsidRPr="00C03A20">
        <w:rPr>
          <w:rFonts w:ascii="Times New Roman" w:hAnsi="Times New Roman"/>
          <w:spacing w:val="-4"/>
          <w:sz w:val="28"/>
          <w:szCs w:val="28"/>
          <w:lang w:val="sq-AL"/>
        </w:rPr>
        <w:t xml:space="preserve">parashikimet </w:t>
      </w:r>
      <w:r w:rsidR="00111BFD" w:rsidRPr="00C03A20">
        <w:rPr>
          <w:rFonts w:ascii="Times New Roman" w:hAnsi="Times New Roman"/>
          <w:spacing w:val="-4"/>
          <w:sz w:val="28"/>
          <w:szCs w:val="28"/>
          <w:lang w:val="sq-AL"/>
        </w:rPr>
        <w:t xml:space="preserve">mbi </w:t>
      </w:r>
      <w:r w:rsidR="00327F00" w:rsidRPr="00C03A20">
        <w:rPr>
          <w:rFonts w:ascii="Times New Roman" w:hAnsi="Times New Roman"/>
          <w:spacing w:val="-4"/>
          <w:sz w:val="28"/>
          <w:szCs w:val="28"/>
          <w:lang w:val="sq-AL"/>
        </w:rPr>
        <w:t>‘</w:t>
      </w:r>
      <w:r w:rsidR="00111BFD" w:rsidRPr="00C03A20">
        <w:rPr>
          <w:rFonts w:ascii="Times New Roman" w:hAnsi="Times New Roman"/>
          <w:spacing w:val="-4"/>
          <w:sz w:val="28"/>
          <w:szCs w:val="28"/>
          <w:lang w:val="sq-AL"/>
        </w:rPr>
        <w:t>Kontratat</w:t>
      </w:r>
      <w:r w:rsidR="00327F00" w:rsidRPr="00C03A20">
        <w:rPr>
          <w:rFonts w:ascii="Times New Roman" w:hAnsi="Times New Roman"/>
          <w:spacing w:val="-4"/>
          <w:sz w:val="28"/>
          <w:szCs w:val="28"/>
          <w:lang w:val="sq-AL"/>
        </w:rPr>
        <w:t xml:space="preserve">’ </w:t>
      </w:r>
      <w:r w:rsidR="00111BFD" w:rsidRPr="00C03A20">
        <w:rPr>
          <w:rFonts w:ascii="Times New Roman" w:hAnsi="Times New Roman"/>
          <w:spacing w:val="-4"/>
          <w:sz w:val="28"/>
          <w:szCs w:val="28"/>
          <w:lang w:val="sq-AL"/>
        </w:rPr>
        <w:t>t</w:t>
      </w:r>
      <w:r w:rsidR="006B0E72" w:rsidRPr="00C03A20">
        <w:rPr>
          <w:rFonts w:ascii="Times New Roman" w:hAnsi="Times New Roman"/>
          <w:spacing w:val="-4"/>
          <w:sz w:val="28"/>
          <w:szCs w:val="28"/>
          <w:lang w:val="sq-AL"/>
        </w:rPr>
        <w:t>ë</w:t>
      </w:r>
      <w:r w:rsidR="00111BFD" w:rsidRPr="00C03A20">
        <w:rPr>
          <w:rFonts w:ascii="Times New Roman" w:hAnsi="Times New Roman"/>
          <w:spacing w:val="-4"/>
          <w:sz w:val="28"/>
          <w:szCs w:val="28"/>
          <w:lang w:val="sq-AL"/>
        </w:rPr>
        <w:t xml:space="preserve"> n</w:t>
      </w:r>
      <w:r w:rsidR="003E5F5F" w:rsidRPr="00C03A20">
        <w:rPr>
          <w:rFonts w:ascii="Times New Roman" w:hAnsi="Times New Roman"/>
          <w:spacing w:val="-4"/>
          <w:sz w:val="28"/>
          <w:szCs w:val="28"/>
          <w:lang w:val="sq-AL"/>
        </w:rPr>
        <w:t>eni</w:t>
      </w:r>
      <w:r w:rsidR="00111BFD" w:rsidRPr="00C03A20">
        <w:rPr>
          <w:rFonts w:ascii="Times New Roman" w:hAnsi="Times New Roman"/>
          <w:spacing w:val="-4"/>
          <w:sz w:val="28"/>
          <w:szCs w:val="28"/>
          <w:lang w:val="sq-AL"/>
        </w:rPr>
        <w:t>t</w:t>
      </w:r>
      <w:r w:rsidR="003E5F5F" w:rsidRPr="00C03A20">
        <w:rPr>
          <w:rFonts w:ascii="Times New Roman" w:hAnsi="Times New Roman"/>
          <w:spacing w:val="-4"/>
          <w:sz w:val="28"/>
          <w:szCs w:val="28"/>
          <w:lang w:val="sq-AL"/>
        </w:rPr>
        <w:t xml:space="preserve"> 659 e vijues të Kodit Civil</w:t>
      </w:r>
      <w:r w:rsidR="0095277A" w:rsidRPr="00C03A20">
        <w:rPr>
          <w:rFonts w:ascii="Times New Roman" w:hAnsi="Times New Roman"/>
          <w:spacing w:val="-4"/>
          <w:sz w:val="28"/>
          <w:szCs w:val="28"/>
          <w:lang w:val="sq-AL"/>
        </w:rPr>
        <w:t>. N</w:t>
      </w:r>
      <w:r w:rsidR="006B0E72" w:rsidRPr="00C03A20">
        <w:rPr>
          <w:rFonts w:ascii="Times New Roman" w:hAnsi="Times New Roman"/>
          <w:spacing w:val="-4"/>
          <w:sz w:val="28"/>
          <w:szCs w:val="28"/>
          <w:lang w:val="sq-AL"/>
        </w:rPr>
        <w:t>ë</w:t>
      </w:r>
      <w:r w:rsidR="0095277A" w:rsidRPr="00C03A20">
        <w:rPr>
          <w:rFonts w:ascii="Times New Roman" w:hAnsi="Times New Roman"/>
          <w:spacing w:val="-4"/>
          <w:sz w:val="28"/>
          <w:szCs w:val="28"/>
          <w:lang w:val="sq-AL"/>
        </w:rPr>
        <w:t xml:space="preserve"> k</w:t>
      </w:r>
      <w:r w:rsidR="006B0E72" w:rsidRPr="00C03A20">
        <w:rPr>
          <w:rFonts w:ascii="Times New Roman" w:hAnsi="Times New Roman"/>
          <w:spacing w:val="-4"/>
          <w:sz w:val="28"/>
          <w:szCs w:val="28"/>
          <w:lang w:val="sq-AL"/>
        </w:rPr>
        <w:t>ë</w:t>
      </w:r>
      <w:r w:rsidR="0095277A" w:rsidRPr="00C03A20">
        <w:rPr>
          <w:rFonts w:ascii="Times New Roman" w:hAnsi="Times New Roman"/>
          <w:spacing w:val="-4"/>
          <w:sz w:val="28"/>
          <w:szCs w:val="28"/>
          <w:lang w:val="sq-AL"/>
        </w:rPr>
        <w:t>t</w:t>
      </w:r>
      <w:r w:rsidR="006B0E72" w:rsidRPr="00C03A20">
        <w:rPr>
          <w:rFonts w:ascii="Times New Roman" w:hAnsi="Times New Roman"/>
          <w:spacing w:val="-4"/>
          <w:sz w:val="28"/>
          <w:szCs w:val="28"/>
          <w:lang w:val="sq-AL"/>
        </w:rPr>
        <w:t>ë</w:t>
      </w:r>
      <w:r w:rsidR="0095277A" w:rsidRPr="00C03A20">
        <w:rPr>
          <w:rFonts w:ascii="Times New Roman" w:hAnsi="Times New Roman"/>
          <w:spacing w:val="-4"/>
          <w:sz w:val="28"/>
          <w:szCs w:val="28"/>
          <w:lang w:val="sq-AL"/>
        </w:rPr>
        <w:t xml:space="preserve"> drejtim </w:t>
      </w:r>
      <w:r w:rsidR="0056535D" w:rsidRPr="00C03A20">
        <w:rPr>
          <w:rFonts w:ascii="Times New Roman" w:hAnsi="Times New Roman"/>
          <w:spacing w:val="-4"/>
          <w:sz w:val="28"/>
          <w:szCs w:val="28"/>
          <w:lang w:val="sq-AL"/>
        </w:rPr>
        <w:t>marr</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veshja e arbitrazhit mund t</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 xml:space="preserve"> jet</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 xml:space="preserve"> n</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 xml:space="preserve"> form</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n e nj</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 xml:space="preserve"> kontrate t</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 xml:space="preserve"> veçant</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 xml:space="preserve"> nd</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rmjet pal</w:t>
      </w:r>
      <w:r w:rsidR="006B0E72" w:rsidRPr="00C03A20">
        <w:rPr>
          <w:rFonts w:ascii="Times New Roman" w:hAnsi="Times New Roman"/>
          <w:spacing w:val="-4"/>
          <w:sz w:val="28"/>
          <w:szCs w:val="28"/>
          <w:lang w:val="sq-AL"/>
        </w:rPr>
        <w:t>ë</w:t>
      </w:r>
      <w:r w:rsidR="0056535D" w:rsidRPr="00C03A20">
        <w:rPr>
          <w:rFonts w:ascii="Times New Roman" w:hAnsi="Times New Roman"/>
          <w:spacing w:val="-4"/>
          <w:sz w:val="28"/>
          <w:szCs w:val="28"/>
          <w:lang w:val="sq-AL"/>
        </w:rPr>
        <w:t>ve si dhe</w:t>
      </w:r>
      <w:r w:rsidR="00207383" w:rsidRPr="00C03A20">
        <w:rPr>
          <w:rFonts w:ascii="Times New Roman" w:hAnsi="Times New Roman"/>
          <w:spacing w:val="-4"/>
          <w:sz w:val="28"/>
          <w:szCs w:val="28"/>
          <w:lang w:val="sq-AL"/>
        </w:rPr>
        <w:t xml:space="preserve"> n</w:t>
      </w:r>
      <w:r w:rsidR="006B0E72" w:rsidRPr="00C03A20">
        <w:rPr>
          <w:rFonts w:ascii="Times New Roman" w:hAnsi="Times New Roman"/>
          <w:spacing w:val="-4"/>
          <w:sz w:val="28"/>
          <w:szCs w:val="28"/>
          <w:lang w:val="sq-AL"/>
        </w:rPr>
        <w:t>ë</w:t>
      </w:r>
      <w:r w:rsidR="00207383" w:rsidRPr="00C03A20">
        <w:rPr>
          <w:rFonts w:ascii="Times New Roman" w:hAnsi="Times New Roman"/>
          <w:spacing w:val="-4"/>
          <w:sz w:val="28"/>
          <w:szCs w:val="28"/>
          <w:lang w:val="sq-AL"/>
        </w:rPr>
        <w:t xml:space="preserve"> </w:t>
      </w:r>
      <w:r w:rsidR="004E5061" w:rsidRPr="00C03A20">
        <w:rPr>
          <w:rFonts w:ascii="Times New Roman" w:hAnsi="Times New Roman"/>
          <w:spacing w:val="-4"/>
          <w:sz w:val="28"/>
          <w:szCs w:val="28"/>
          <w:lang w:val="sq-AL"/>
        </w:rPr>
        <w:t>formën e një klauzol</w:t>
      </w:r>
      <w:r w:rsidR="00207383" w:rsidRPr="00C03A20">
        <w:rPr>
          <w:rFonts w:ascii="Times New Roman" w:hAnsi="Times New Roman"/>
          <w:spacing w:val="-4"/>
          <w:sz w:val="28"/>
          <w:szCs w:val="28"/>
          <w:lang w:val="sq-AL"/>
        </w:rPr>
        <w:t>e</w:t>
      </w:r>
      <w:r w:rsidR="004E5061" w:rsidRPr="00C03A20">
        <w:rPr>
          <w:rFonts w:ascii="Times New Roman" w:hAnsi="Times New Roman"/>
          <w:spacing w:val="-4"/>
          <w:sz w:val="28"/>
          <w:szCs w:val="28"/>
          <w:lang w:val="sq-AL"/>
        </w:rPr>
        <w:t xml:space="preserve"> të posaçm</w:t>
      </w:r>
      <w:r w:rsidR="00207383" w:rsidRPr="00C03A20">
        <w:rPr>
          <w:rFonts w:ascii="Times New Roman" w:hAnsi="Times New Roman"/>
          <w:spacing w:val="-4"/>
          <w:sz w:val="28"/>
          <w:szCs w:val="28"/>
          <w:lang w:val="sq-AL"/>
        </w:rPr>
        <w:t>e</w:t>
      </w:r>
      <w:r w:rsidR="004E5061" w:rsidRPr="00C03A20">
        <w:rPr>
          <w:rFonts w:ascii="Times New Roman" w:hAnsi="Times New Roman"/>
          <w:spacing w:val="-4"/>
          <w:sz w:val="28"/>
          <w:szCs w:val="28"/>
          <w:lang w:val="sq-AL"/>
        </w:rPr>
        <w:t xml:space="preserve"> për zgjidhjen e mosmarrëveshjeve me arbitrazh </w:t>
      </w:r>
      <w:r w:rsidR="00D822C0" w:rsidRPr="00C03A20">
        <w:rPr>
          <w:rFonts w:ascii="Times New Roman" w:hAnsi="Times New Roman"/>
          <w:spacing w:val="-4"/>
          <w:sz w:val="28"/>
          <w:szCs w:val="28"/>
          <w:lang w:val="sq-AL"/>
        </w:rPr>
        <w:t>t</w:t>
      </w:r>
      <w:r w:rsidR="006B0E72" w:rsidRPr="00C03A20">
        <w:rPr>
          <w:rFonts w:ascii="Times New Roman" w:hAnsi="Times New Roman"/>
          <w:spacing w:val="-4"/>
          <w:sz w:val="28"/>
          <w:szCs w:val="28"/>
          <w:lang w:val="sq-AL"/>
        </w:rPr>
        <w:t>ë</w:t>
      </w:r>
      <w:r w:rsidR="00D822C0" w:rsidRPr="00C03A20">
        <w:rPr>
          <w:rFonts w:ascii="Times New Roman" w:hAnsi="Times New Roman"/>
          <w:spacing w:val="-4"/>
          <w:sz w:val="28"/>
          <w:szCs w:val="28"/>
          <w:lang w:val="sq-AL"/>
        </w:rPr>
        <w:t xml:space="preserve"> p</w:t>
      </w:r>
      <w:r w:rsidR="006B0E72" w:rsidRPr="00C03A20">
        <w:rPr>
          <w:rFonts w:ascii="Times New Roman" w:hAnsi="Times New Roman"/>
          <w:spacing w:val="-4"/>
          <w:sz w:val="28"/>
          <w:szCs w:val="28"/>
          <w:lang w:val="sq-AL"/>
        </w:rPr>
        <w:t>ë</w:t>
      </w:r>
      <w:r w:rsidR="00D822C0" w:rsidRPr="00C03A20">
        <w:rPr>
          <w:rFonts w:ascii="Times New Roman" w:hAnsi="Times New Roman"/>
          <w:spacing w:val="-4"/>
          <w:sz w:val="28"/>
          <w:szCs w:val="28"/>
          <w:lang w:val="sq-AL"/>
        </w:rPr>
        <w:t>rfshir</w:t>
      </w:r>
      <w:r w:rsidR="006B0E72" w:rsidRPr="00C03A20">
        <w:rPr>
          <w:rFonts w:ascii="Times New Roman" w:hAnsi="Times New Roman"/>
          <w:spacing w:val="-4"/>
          <w:sz w:val="28"/>
          <w:szCs w:val="28"/>
          <w:lang w:val="sq-AL"/>
        </w:rPr>
        <w:t>ë</w:t>
      </w:r>
      <w:r w:rsidR="00D822C0" w:rsidRPr="00C03A20">
        <w:rPr>
          <w:rFonts w:ascii="Times New Roman" w:hAnsi="Times New Roman"/>
          <w:spacing w:val="-4"/>
          <w:sz w:val="28"/>
          <w:szCs w:val="28"/>
          <w:lang w:val="sq-AL"/>
        </w:rPr>
        <w:t xml:space="preserve"> n</w:t>
      </w:r>
      <w:r w:rsidR="006B0E72" w:rsidRPr="00C03A20">
        <w:rPr>
          <w:rFonts w:ascii="Times New Roman" w:hAnsi="Times New Roman"/>
          <w:spacing w:val="-4"/>
          <w:sz w:val="28"/>
          <w:szCs w:val="28"/>
          <w:lang w:val="sq-AL"/>
        </w:rPr>
        <w:t>ë</w:t>
      </w:r>
      <w:r w:rsidR="00D822C0" w:rsidRPr="00C03A20">
        <w:rPr>
          <w:rFonts w:ascii="Times New Roman" w:hAnsi="Times New Roman"/>
          <w:spacing w:val="-4"/>
          <w:sz w:val="28"/>
          <w:szCs w:val="28"/>
          <w:lang w:val="sq-AL"/>
        </w:rPr>
        <w:t xml:space="preserve"> </w:t>
      </w:r>
      <w:r w:rsidR="004E5061" w:rsidRPr="00C03A20">
        <w:rPr>
          <w:rFonts w:ascii="Times New Roman" w:hAnsi="Times New Roman"/>
          <w:spacing w:val="-4"/>
          <w:sz w:val="28"/>
          <w:szCs w:val="28"/>
          <w:lang w:val="sq-AL"/>
        </w:rPr>
        <w:t>kontratën e lidhur midis palëve.</w:t>
      </w:r>
    </w:p>
    <w:p w:rsidR="00D2418D" w:rsidRPr="00C03A20" w:rsidRDefault="00D2418D" w:rsidP="00C03A20">
      <w:pPr>
        <w:spacing w:after="0"/>
        <w:jc w:val="both"/>
        <w:rPr>
          <w:rFonts w:ascii="Times New Roman" w:hAnsi="Times New Roman"/>
          <w:spacing w:val="-4"/>
          <w:sz w:val="28"/>
          <w:szCs w:val="28"/>
          <w:lang w:val="sq-AL"/>
        </w:rPr>
      </w:pPr>
    </w:p>
    <w:p w:rsidR="004E5061" w:rsidRPr="00C03A20" w:rsidRDefault="00D2418D"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Gjithashtu, duke mbajtur n</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konsiderat</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w:t>
      </w:r>
      <w:r w:rsidR="00E32A7B" w:rsidRPr="00C03A20">
        <w:rPr>
          <w:rFonts w:ascii="Times New Roman" w:hAnsi="Times New Roman"/>
          <w:spacing w:val="-4"/>
          <w:sz w:val="28"/>
          <w:szCs w:val="28"/>
          <w:lang w:val="sq-AL"/>
        </w:rPr>
        <w:t>praktik</w:t>
      </w:r>
      <w:r w:rsidR="006B0E72" w:rsidRPr="00C03A20">
        <w:rPr>
          <w:rFonts w:ascii="Times New Roman" w:hAnsi="Times New Roman"/>
          <w:spacing w:val="-4"/>
          <w:sz w:val="28"/>
          <w:szCs w:val="28"/>
          <w:lang w:val="sq-AL"/>
        </w:rPr>
        <w:t>ë</w:t>
      </w:r>
      <w:r w:rsidR="00E32A7B" w:rsidRPr="00C03A20">
        <w:rPr>
          <w:rFonts w:ascii="Times New Roman" w:hAnsi="Times New Roman"/>
          <w:spacing w:val="-4"/>
          <w:sz w:val="28"/>
          <w:szCs w:val="28"/>
          <w:lang w:val="sq-AL"/>
        </w:rPr>
        <w:t>n e zakonshme tregtare vendase dhe nd</w:t>
      </w:r>
      <w:r w:rsidR="006B0E72" w:rsidRPr="00C03A20">
        <w:rPr>
          <w:rFonts w:ascii="Times New Roman" w:hAnsi="Times New Roman"/>
          <w:spacing w:val="-4"/>
          <w:sz w:val="28"/>
          <w:szCs w:val="28"/>
          <w:lang w:val="sq-AL"/>
        </w:rPr>
        <w:t>ë</w:t>
      </w:r>
      <w:r w:rsidR="00E32A7B" w:rsidRPr="00C03A20">
        <w:rPr>
          <w:rFonts w:ascii="Times New Roman" w:hAnsi="Times New Roman"/>
          <w:spacing w:val="-4"/>
          <w:sz w:val="28"/>
          <w:szCs w:val="28"/>
          <w:lang w:val="sq-AL"/>
        </w:rPr>
        <w:t>rkomb</w:t>
      </w:r>
      <w:r w:rsidR="006B0E72" w:rsidRPr="00C03A20">
        <w:rPr>
          <w:rFonts w:ascii="Times New Roman" w:hAnsi="Times New Roman"/>
          <w:spacing w:val="-4"/>
          <w:sz w:val="28"/>
          <w:szCs w:val="28"/>
          <w:lang w:val="sq-AL"/>
        </w:rPr>
        <w:t>ë</w:t>
      </w:r>
      <w:r w:rsidR="00E32A7B" w:rsidRPr="00C03A20">
        <w:rPr>
          <w:rFonts w:ascii="Times New Roman" w:hAnsi="Times New Roman"/>
          <w:spacing w:val="-4"/>
          <w:sz w:val="28"/>
          <w:szCs w:val="28"/>
          <w:lang w:val="sq-AL"/>
        </w:rPr>
        <w:t>tare</w:t>
      </w:r>
      <w:r w:rsidR="00AD6086" w:rsidRPr="00C03A20">
        <w:rPr>
          <w:rFonts w:ascii="Times New Roman" w:hAnsi="Times New Roman"/>
          <w:spacing w:val="-4"/>
          <w:sz w:val="28"/>
          <w:szCs w:val="28"/>
          <w:lang w:val="sq-AL"/>
        </w:rPr>
        <w:t xml:space="preserve">, </w:t>
      </w:r>
      <w:r w:rsidR="00096B87" w:rsidRPr="00C03A20">
        <w:rPr>
          <w:rFonts w:ascii="Times New Roman" w:hAnsi="Times New Roman"/>
          <w:spacing w:val="-4"/>
          <w:sz w:val="28"/>
          <w:szCs w:val="28"/>
          <w:lang w:val="sq-AL"/>
        </w:rPr>
        <w:t>m</w:t>
      </w:r>
      <w:r w:rsidR="004E5061" w:rsidRPr="00C03A20">
        <w:rPr>
          <w:rFonts w:ascii="Times New Roman" w:hAnsi="Times New Roman"/>
          <w:spacing w:val="-4"/>
          <w:sz w:val="28"/>
          <w:szCs w:val="28"/>
          <w:lang w:val="sq-AL"/>
        </w:rPr>
        <w:t xml:space="preserve">arrëveshja e arbitrazhit </w:t>
      </w:r>
      <w:r w:rsidR="00096B87" w:rsidRPr="00C03A20">
        <w:rPr>
          <w:rFonts w:ascii="Times New Roman" w:hAnsi="Times New Roman"/>
          <w:spacing w:val="-4"/>
          <w:sz w:val="28"/>
          <w:szCs w:val="28"/>
          <w:lang w:val="sq-AL"/>
        </w:rPr>
        <w:t xml:space="preserve">konsiderohet e lidhur me </w:t>
      </w:r>
      <w:r w:rsidR="004E5061" w:rsidRPr="00C03A20">
        <w:rPr>
          <w:rFonts w:ascii="Times New Roman" w:hAnsi="Times New Roman"/>
          <w:spacing w:val="-4"/>
          <w:sz w:val="28"/>
          <w:szCs w:val="28"/>
          <w:lang w:val="sq-AL"/>
        </w:rPr>
        <w:t xml:space="preserve">shkrim </w:t>
      </w:r>
      <w:r w:rsidR="00096B87" w:rsidRPr="00C03A20">
        <w:rPr>
          <w:rFonts w:ascii="Times New Roman" w:hAnsi="Times New Roman"/>
          <w:spacing w:val="-4"/>
          <w:sz w:val="28"/>
          <w:szCs w:val="28"/>
          <w:lang w:val="sq-AL"/>
        </w:rPr>
        <w:t xml:space="preserve">edhe </w:t>
      </w:r>
      <w:r w:rsidR="004E5061" w:rsidRPr="00C03A20">
        <w:rPr>
          <w:rFonts w:ascii="Times New Roman" w:hAnsi="Times New Roman"/>
          <w:spacing w:val="-4"/>
          <w:sz w:val="28"/>
          <w:szCs w:val="28"/>
          <w:lang w:val="sq-AL"/>
        </w:rPr>
        <w:t>nëse është pjesë e një akti të nënshkruar nga palët ose në shkëmbimin e letrave, fakseve, telegrameve, postës elektronike apo mjeteve të tjera të komunikimit ose regjistrimit të të dhënave, të cilat mund të dokumentohen dhe sigurojnë një provë të marrëveshjes së arbitrazhit</w:t>
      </w:r>
      <w:r w:rsidR="00561D1D" w:rsidRPr="00C03A20">
        <w:rPr>
          <w:rFonts w:ascii="Times New Roman" w:hAnsi="Times New Roman"/>
          <w:spacing w:val="-4"/>
          <w:sz w:val="28"/>
          <w:szCs w:val="28"/>
          <w:lang w:val="sq-AL"/>
        </w:rPr>
        <w:t xml:space="preserve">, si dhe </w:t>
      </w:r>
      <w:r w:rsidR="004E5061" w:rsidRPr="00C03A20">
        <w:rPr>
          <w:rFonts w:ascii="Times New Roman" w:hAnsi="Times New Roman"/>
          <w:spacing w:val="-4"/>
          <w:sz w:val="28"/>
          <w:szCs w:val="28"/>
          <w:lang w:val="sq-AL"/>
        </w:rPr>
        <w:t xml:space="preserve">nëse përfshihet në një akt të dërguar nga njëra palë tek tjetra ose të dërguar nga një person i tretë tek të dyja palët, </w:t>
      </w:r>
      <w:r w:rsidR="00325EDF" w:rsidRPr="00C03A20">
        <w:rPr>
          <w:rFonts w:ascii="Times New Roman" w:hAnsi="Times New Roman"/>
          <w:spacing w:val="-4"/>
          <w:sz w:val="28"/>
          <w:szCs w:val="28"/>
          <w:lang w:val="sq-AL"/>
        </w:rPr>
        <w:t xml:space="preserve">i cili nuk </w:t>
      </w:r>
      <w:r w:rsidR="004E5061" w:rsidRPr="00C03A20">
        <w:rPr>
          <w:rFonts w:ascii="Times New Roman" w:hAnsi="Times New Roman"/>
          <w:spacing w:val="-4"/>
          <w:sz w:val="28"/>
          <w:szCs w:val="28"/>
          <w:lang w:val="sq-AL"/>
        </w:rPr>
        <w:t xml:space="preserve">është kundërshtuar nga </w:t>
      </w:r>
      <w:r w:rsidR="0055217D" w:rsidRPr="00C03A20">
        <w:rPr>
          <w:rFonts w:ascii="Times New Roman" w:hAnsi="Times New Roman"/>
          <w:spacing w:val="-4"/>
          <w:sz w:val="28"/>
          <w:szCs w:val="28"/>
          <w:lang w:val="sq-AL"/>
        </w:rPr>
        <w:t>pal</w:t>
      </w:r>
      <w:r w:rsidR="006B0E72" w:rsidRPr="00C03A20">
        <w:rPr>
          <w:rFonts w:ascii="Times New Roman" w:hAnsi="Times New Roman"/>
          <w:spacing w:val="-4"/>
          <w:sz w:val="28"/>
          <w:szCs w:val="28"/>
          <w:lang w:val="sq-AL"/>
        </w:rPr>
        <w:t>ë</w:t>
      </w:r>
      <w:r w:rsidR="0055217D" w:rsidRPr="00C03A20">
        <w:rPr>
          <w:rFonts w:ascii="Times New Roman" w:hAnsi="Times New Roman"/>
          <w:spacing w:val="-4"/>
          <w:sz w:val="28"/>
          <w:szCs w:val="28"/>
          <w:lang w:val="sq-AL"/>
        </w:rPr>
        <w:t xml:space="preserve">t ose </w:t>
      </w:r>
      <w:r w:rsidR="004E5061" w:rsidRPr="00C03A20">
        <w:rPr>
          <w:rFonts w:ascii="Times New Roman" w:hAnsi="Times New Roman"/>
          <w:spacing w:val="-4"/>
          <w:sz w:val="28"/>
          <w:szCs w:val="28"/>
          <w:lang w:val="sq-AL"/>
        </w:rPr>
        <w:t>njër</w:t>
      </w:r>
      <w:r w:rsidR="0055217D" w:rsidRPr="00C03A20">
        <w:rPr>
          <w:rFonts w:ascii="Times New Roman" w:hAnsi="Times New Roman"/>
          <w:spacing w:val="-4"/>
          <w:sz w:val="28"/>
          <w:szCs w:val="28"/>
          <w:lang w:val="sq-AL"/>
        </w:rPr>
        <w:t>a</w:t>
      </w:r>
      <w:r w:rsidR="004E5061" w:rsidRPr="00C03A20">
        <w:rPr>
          <w:rFonts w:ascii="Times New Roman" w:hAnsi="Times New Roman"/>
          <w:spacing w:val="-4"/>
          <w:sz w:val="28"/>
          <w:szCs w:val="28"/>
          <w:lang w:val="sq-AL"/>
        </w:rPr>
        <w:t xml:space="preserve"> p</w:t>
      </w:r>
      <w:r w:rsidR="0055217D" w:rsidRPr="00C03A20">
        <w:rPr>
          <w:rFonts w:ascii="Times New Roman" w:hAnsi="Times New Roman"/>
          <w:spacing w:val="-4"/>
          <w:sz w:val="28"/>
          <w:szCs w:val="28"/>
          <w:lang w:val="sq-AL"/>
        </w:rPr>
        <w:t>al</w:t>
      </w:r>
      <w:r w:rsidR="006B0E72" w:rsidRPr="00C03A20">
        <w:rPr>
          <w:rFonts w:ascii="Times New Roman" w:hAnsi="Times New Roman"/>
          <w:spacing w:val="-4"/>
          <w:sz w:val="28"/>
          <w:szCs w:val="28"/>
          <w:lang w:val="sq-AL"/>
        </w:rPr>
        <w:t>ë</w:t>
      </w:r>
      <w:r w:rsidR="0055217D" w:rsidRPr="00C03A20">
        <w:rPr>
          <w:rFonts w:ascii="Times New Roman" w:hAnsi="Times New Roman"/>
          <w:spacing w:val="-4"/>
          <w:sz w:val="28"/>
          <w:szCs w:val="28"/>
          <w:lang w:val="sq-AL"/>
        </w:rPr>
        <w:t xml:space="preserve"> </w:t>
      </w:r>
      <w:r w:rsidR="004E5061" w:rsidRPr="00C03A20">
        <w:rPr>
          <w:rFonts w:ascii="Times New Roman" w:hAnsi="Times New Roman"/>
          <w:spacing w:val="-4"/>
          <w:sz w:val="28"/>
          <w:szCs w:val="28"/>
          <w:lang w:val="sq-AL"/>
        </w:rPr>
        <w:t>brenda një afati kohor të arsyeshëm.</w:t>
      </w:r>
    </w:p>
    <w:p w:rsidR="004E5061" w:rsidRPr="00C03A20" w:rsidRDefault="004E5061" w:rsidP="00C03A20">
      <w:pPr>
        <w:spacing w:after="0"/>
        <w:jc w:val="both"/>
        <w:rPr>
          <w:rFonts w:ascii="Times New Roman" w:hAnsi="Times New Roman"/>
          <w:spacing w:val="-4"/>
          <w:sz w:val="28"/>
          <w:szCs w:val="28"/>
          <w:lang w:val="sq-AL"/>
        </w:rPr>
      </w:pPr>
    </w:p>
    <w:p w:rsidR="004E5061" w:rsidRPr="00C03A20" w:rsidRDefault="00A14E9D"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Nj</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rast tjet</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r i posaç</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m </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sht</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kur </w:t>
      </w:r>
      <w:r w:rsidR="004E5061" w:rsidRPr="00C03A20">
        <w:rPr>
          <w:rFonts w:ascii="Times New Roman" w:hAnsi="Times New Roman"/>
          <w:spacing w:val="-4"/>
          <w:sz w:val="28"/>
          <w:szCs w:val="28"/>
          <w:lang w:val="sq-AL"/>
        </w:rPr>
        <w:t>kontrata midis pal</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ve b</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n referim t</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 xml:space="preserve"> drejtp</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rdrejt n</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 xml:space="preserve"> një dokument tjetër që përmban klauzol</w:t>
      </w:r>
      <w:r w:rsidR="006B0E72" w:rsidRPr="00C03A20">
        <w:rPr>
          <w:rFonts w:ascii="Times New Roman" w:hAnsi="Times New Roman"/>
          <w:spacing w:val="-4"/>
          <w:sz w:val="28"/>
          <w:szCs w:val="28"/>
          <w:lang w:val="sq-AL"/>
        </w:rPr>
        <w:t>ë</w:t>
      </w:r>
      <w:r w:rsidR="004E5061" w:rsidRPr="00C03A20">
        <w:rPr>
          <w:rFonts w:ascii="Times New Roman" w:hAnsi="Times New Roman"/>
          <w:spacing w:val="-4"/>
          <w:sz w:val="28"/>
          <w:szCs w:val="28"/>
          <w:lang w:val="sq-AL"/>
        </w:rPr>
        <w:t xml:space="preserve">n për zgjidhjen e mosmarrëveshjeve me arbitrazh, </w:t>
      </w:r>
      <w:r w:rsidR="00E218A3" w:rsidRPr="00C03A20">
        <w:rPr>
          <w:rFonts w:ascii="Times New Roman" w:hAnsi="Times New Roman"/>
          <w:spacing w:val="-4"/>
          <w:sz w:val="28"/>
          <w:szCs w:val="28"/>
          <w:lang w:val="sq-AL"/>
        </w:rPr>
        <w:t>parashikim q</w:t>
      </w:r>
      <w:r w:rsidR="006B0E72" w:rsidRPr="00C03A20">
        <w:rPr>
          <w:rFonts w:ascii="Times New Roman" w:hAnsi="Times New Roman"/>
          <w:spacing w:val="-4"/>
          <w:sz w:val="28"/>
          <w:szCs w:val="28"/>
          <w:lang w:val="sq-AL"/>
        </w:rPr>
        <w:t>ë</w:t>
      </w:r>
      <w:r w:rsidR="00E218A3" w:rsidRPr="00C03A20">
        <w:rPr>
          <w:rFonts w:ascii="Times New Roman" w:hAnsi="Times New Roman"/>
          <w:spacing w:val="-4"/>
          <w:sz w:val="28"/>
          <w:szCs w:val="28"/>
          <w:lang w:val="sq-AL"/>
        </w:rPr>
        <w:t xml:space="preserve"> ndeshet jo vet</w:t>
      </w:r>
      <w:r w:rsidR="006B0E72" w:rsidRPr="00C03A20">
        <w:rPr>
          <w:rFonts w:ascii="Times New Roman" w:hAnsi="Times New Roman"/>
          <w:spacing w:val="-4"/>
          <w:sz w:val="28"/>
          <w:szCs w:val="28"/>
          <w:lang w:val="sq-AL"/>
        </w:rPr>
        <w:t>ë</w:t>
      </w:r>
      <w:r w:rsidR="00E218A3" w:rsidRPr="00C03A20">
        <w:rPr>
          <w:rFonts w:ascii="Times New Roman" w:hAnsi="Times New Roman"/>
          <w:spacing w:val="-4"/>
          <w:sz w:val="28"/>
          <w:szCs w:val="28"/>
          <w:lang w:val="sq-AL"/>
        </w:rPr>
        <w:t>m n</w:t>
      </w:r>
      <w:r w:rsidR="006B0E72" w:rsidRPr="00C03A20">
        <w:rPr>
          <w:rFonts w:ascii="Times New Roman" w:hAnsi="Times New Roman"/>
          <w:spacing w:val="-4"/>
          <w:sz w:val="28"/>
          <w:szCs w:val="28"/>
          <w:lang w:val="sq-AL"/>
        </w:rPr>
        <w:t>ë</w:t>
      </w:r>
      <w:r w:rsidR="00E218A3" w:rsidRPr="00C03A20">
        <w:rPr>
          <w:rFonts w:ascii="Times New Roman" w:hAnsi="Times New Roman"/>
          <w:spacing w:val="-4"/>
          <w:sz w:val="28"/>
          <w:szCs w:val="28"/>
          <w:lang w:val="sq-AL"/>
        </w:rPr>
        <w:t xml:space="preserve"> </w:t>
      </w:r>
      <w:r w:rsidR="007B1873" w:rsidRPr="00C03A20">
        <w:rPr>
          <w:rFonts w:ascii="Times New Roman" w:hAnsi="Times New Roman"/>
          <w:spacing w:val="-4"/>
          <w:sz w:val="28"/>
          <w:szCs w:val="28"/>
          <w:lang w:val="sq-AL"/>
        </w:rPr>
        <w:t>ligjin model t</w:t>
      </w:r>
      <w:r w:rsidR="006B0E72" w:rsidRPr="00C03A20">
        <w:rPr>
          <w:rFonts w:ascii="Times New Roman" w:hAnsi="Times New Roman"/>
          <w:spacing w:val="-4"/>
          <w:sz w:val="28"/>
          <w:szCs w:val="28"/>
          <w:lang w:val="sq-AL"/>
        </w:rPr>
        <w:t>ë</w:t>
      </w:r>
      <w:r w:rsidR="007B1873" w:rsidRPr="00C03A20">
        <w:rPr>
          <w:rFonts w:ascii="Times New Roman" w:hAnsi="Times New Roman"/>
          <w:spacing w:val="-4"/>
          <w:sz w:val="28"/>
          <w:szCs w:val="28"/>
          <w:lang w:val="sq-AL"/>
        </w:rPr>
        <w:t xml:space="preserve"> UNCITRAL </w:t>
      </w:r>
      <w:r w:rsidR="00DE1861" w:rsidRPr="00C03A20">
        <w:rPr>
          <w:rFonts w:ascii="Times New Roman" w:hAnsi="Times New Roman"/>
          <w:spacing w:val="-4"/>
          <w:sz w:val="28"/>
          <w:szCs w:val="28"/>
          <w:lang w:val="sq-AL"/>
        </w:rPr>
        <w:t xml:space="preserve">por edhe </w:t>
      </w:r>
      <w:r w:rsidR="00DE1861" w:rsidRPr="00C03A20">
        <w:rPr>
          <w:rFonts w:ascii="Times New Roman" w:hAnsi="Times New Roman"/>
          <w:spacing w:val="-4"/>
          <w:sz w:val="28"/>
          <w:szCs w:val="28"/>
          <w:lang w:val="sq-AL"/>
        </w:rPr>
        <w:lastRenderedPageBreak/>
        <w:t>n</w:t>
      </w:r>
      <w:r w:rsidR="006B0E72" w:rsidRPr="00C03A20">
        <w:rPr>
          <w:rFonts w:ascii="Times New Roman" w:hAnsi="Times New Roman"/>
          <w:spacing w:val="-4"/>
          <w:sz w:val="28"/>
          <w:szCs w:val="28"/>
          <w:lang w:val="sq-AL"/>
        </w:rPr>
        <w:t>ë</w:t>
      </w:r>
      <w:r w:rsidR="00DE1861" w:rsidRPr="00C03A20">
        <w:rPr>
          <w:rFonts w:ascii="Times New Roman" w:hAnsi="Times New Roman"/>
          <w:spacing w:val="-4"/>
          <w:sz w:val="28"/>
          <w:szCs w:val="28"/>
          <w:lang w:val="sq-AL"/>
        </w:rPr>
        <w:t xml:space="preserve"> dispozitat mbi arbitrazhin t</w:t>
      </w:r>
      <w:r w:rsidR="006B0E72" w:rsidRPr="00C03A20">
        <w:rPr>
          <w:rFonts w:ascii="Times New Roman" w:hAnsi="Times New Roman"/>
          <w:spacing w:val="-4"/>
          <w:sz w:val="28"/>
          <w:szCs w:val="28"/>
          <w:lang w:val="sq-AL"/>
        </w:rPr>
        <w:t>ë</w:t>
      </w:r>
      <w:r w:rsidR="00DE1861" w:rsidRPr="00C03A20">
        <w:rPr>
          <w:rFonts w:ascii="Times New Roman" w:hAnsi="Times New Roman"/>
          <w:spacing w:val="-4"/>
          <w:sz w:val="28"/>
          <w:szCs w:val="28"/>
          <w:lang w:val="sq-AL"/>
        </w:rPr>
        <w:t xml:space="preserve"> Austris</w:t>
      </w:r>
      <w:r w:rsidR="006B0E72" w:rsidRPr="00C03A20">
        <w:rPr>
          <w:rFonts w:ascii="Times New Roman" w:hAnsi="Times New Roman"/>
          <w:spacing w:val="-4"/>
          <w:sz w:val="28"/>
          <w:szCs w:val="28"/>
          <w:lang w:val="sq-AL"/>
        </w:rPr>
        <w:t>ë</w:t>
      </w:r>
      <w:r w:rsidR="00DE1861" w:rsidRPr="00C03A20">
        <w:rPr>
          <w:rFonts w:ascii="Times New Roman" w:hAnsi="Times New Roman"/>
          <w:spacing w:val="-4"/>
          <w:sz w:val="28"/>
          <w:szCs w:val="28"/>
          <w:lang w:val="sq-AL"/>
        </w:rPr>
        <w:t xml:space="preserve">, </w:t>
      </w:r>
      <w:r w:rsidR="009821F2" w:rsidRPr="00C03A20">
        <w:rPr>
          <w:rFonts w:ascii="Times New Roman" w:hAnsi="Times New Roman"/>
          <w:spacing w:val="-4"/>
          <w:sz w:val="28"/>
          <w:szCs w:val="28"/>
          <w:lang w:val="sq-AL"/>
        </w:rPr>
        <w:t>Gjermanis</w:t>
      </w:r>
      <w:r w:rsidR="006B0E72" w:rsidRPr="00C03A20">
        <w:rPr>
          <w:rFonts w:ascii="Times New Roman" w:hAnsi="Times New Roman"/>
          <w:spacing w:val="-4"/>
          <w:sz w:val="28"/>
          <w:szCs w:val="28"/>
          <w:lang w:val="sq-AL"/>
        </w:rPr>
        <w:t>ë</w:t>
      </w:r>
      <w:r w:rsidR="009821F2" w:rsidRPr="00C03A20">
        <w:rPr>
          <w:rFonts w:ascii="Times New Roman" w:hAnsi="Times New Roman"/>
          <w:spacing w:val="-4"/>
          <w:sz w:val="28"/>
          <w:szCs w:val="28"/>
          <w:lang w:val="sq-AL"/>
        </w:rPr>
        <w:t xml:space="preserve">, </w:t>
      </w:r>
      <w:r w:rsidR="0055779F" w:rsidRPr="00C03A20">
        <w:rPr>
          <w:rFonts w:ascii="Times New Roman" w:hAnsi="Times New Roman"/>
          <w:spacing w:val="-4"/>
          <w:sz w:val="28"/>
          <w:szCs w:val="28"/>
          <w:lang w:val="sq-AL"/>
        </w:rPr>
        <w:t>Italis</w:t>
      </w:r>
      <w:r w:rsidR="006B0E72" w:rsidRPr="00C03A20">
        <w:rPr>
          <w:rFonts w:ascii="Times New Roman" w:hAnsi="Times New Roman"/>
          <w:spacing w:val="-4"/>
          <w:sz w:val="28"/>
          <w:szCs w:val="28"/>
          <w:lang w:val="sq-AL"/>
        </w:rPr>
        <w:t>ë</w:t>
      </w:r>
      <w:r w:rsidR="0055779F" w:rsidRPr="00C03A20">
        <w:rPr>
          <w:rFonts w:ascii="Times New Roman" w:hAnsi="Times New Roman"/>
          <w:spacing w:val="-4"/>
          <w:sz w:val="28"/>
          <w:szCs w:val="28"/>
          <w:lang w:val="sq-AL"/>
        </w:rPr>
        <w:t xml:space="preserve">, </w:t>
      </w:r>
      <w:r w:rsidR="00E03A64" w:rsidRPr="00C03A20">
        <w:rPr>
          <w:rFonts w:ascii="Times New Roman" w:hAnsi="Times New Roman"/>
          <w:spacing w:val="-4"/>
          <w:sz w:val="28"/>
          <w:szCs w:val="28"/>
          <w:lang w:val="sq-AL"/>
        </w:rPr>
        <w:t>Kroacis</w:t>
      </w:r>
      <w:r w:rsidR="006B0E72" w:rsidRPr="00C03A20">
        <w:rPr>
          <w:rFonts w:ascii="Times New Roman" w:hAnsi="Times New Roman"/>
          <w:spacing w:val="-4"/>
          <w:sz w:val="28"/>
          <w:szCs w:val="28"/>
          <w:lang w:val="sq-AL"/>
        </w:rPr>
        <w:t>ë</w:t>
      </w:r>
      <w:r w:rsidR="00E03A64" w:rsidRPr="00C03A20">
        <w:rPr>
          <w:rFonts w:ascii="Times New Roman" w:hAnsi="Times New Roman"/>
          <w:spacing w:val="-4"/>
          <w:sz w:val="28"/>
          <w:szCs w:val="28"/>
          <w:lang w:val="sq-AL"/>
        </w:rPr>
        <w:t>, Polonis</w:t>
      </w:r>
      <w:r w:rsidR="006B0E72" w:rsidRPr="00C03A20">
        <w:rPr>
          <w:rFonts w:ascii="Times New Roman" w:hAnsi="Times New Roman"/>
          <w:spacing w:val="-4"/>
          <w:sz w:val="28"/>
          <w:szCs w:val="28"/>
          <w:lang w:val="sq-AL"/>
        </w:rPr>
        <w:t>ë</w:t>
      </w:r>
      <w:r w:rsidR="00BE6431" w:rsidRPr="00C03A20">
        <w:rPr>
          <w:rFonts w:ascii="Times New Roman" w:hAnsi="Times New Roman"/>
          <w:spacing w:val="-4"/>
          <w:sz w:val="28"/>
          <w:szCs w:val="28"/>
          <w:lang w:val="sq-AL"/>
        </w:rPr>
        <w:t xml:space="preserve"> </w:t>
      </w:r>
      <w:r w:rsidR="00B24AC0" w:rsidRPr="00C03A20">
        <w:rPr>
          <w:rFonts w:ascii="Times New Roman" w:hAnsi="Times New Roman"/>
          <w:spacing w:val="-4"/>
          <w:sz w:val="28"/>
          <w:szCs w:val="28"/>
          <w:lang w:val="sq-AL"/>
        </w:rPr>
        <w:t>dhe Sllovenis</w:t>
      </w:r>
      <w:r w:rsidR="006B0E72" w:rsidRPr="00C03A20">
        <w:rPr>
          <w:rFonts w:ascii="Times New Roman" w:hAnsi="Times New Roman"/>
          <w:spacing w:val="-4"/>
          <w:sz w:val="28"/>
          <w:szCs w:val="28"/>
          <w:lang w:val="sq-AL"/>
        </w:rPr>
        <w:t>ë</w:t>
      </w:r>
      <w:r w:rsidR="0055779F" w:rsidRPr="00C03A20">
        <w:rPr>
          <w:rFonts w:ascii="Times New Roman" w:hAnsi="Times New Roman"/>
          <w:spacing w:val="-4"/>
          <w:sz w:val="28"/>
          <w:szCs w:val="28"/>
          <w:lang w:val="sq-AL"/>
        </w:rPr>
        <w:t>.</w:t>
      </w:r>
    </w:p>
    <w:p w:rsidR="00B164AF" w:rsidRPr="00C03A20" w:rsidRDefault="00B164AF" w:rsidP="00C03A20">
      <w:pPr>
        <w:spacing w:after="0"/>
        <w:jc w:val="both"/>
        <w:rPr>
          <w:rFonts w:ascii="Times New Roman" w:hAnsi="Times New Roman"/>
          <w:spacing w:val="-4"/>
          <w:sz w:val="28"/>
          <w:szCs w:val="28"/>
          <w:lang w:val="sq-AL"/>
        </w:rPr>
      </w:pPr>
    </w:p>
    <w:p w:rsidR="00417A0F" w:rsidRPr="00C03A20" w:rsidRDefault="00442264" w:rsidP="00C03A20">
      <w:pPr>
        <w:spacing w:after="0"/>
        <w:jc w:val="both"/>
        <w:rPr>
          <w:rFonts w:ascii="Times New Roman" w:hAnsi="Times New Roman"/>
          <w:spacing w:val="-4"/>
          <w:sz w:val="28"/>
          <w:szCs w:val="28"/>
          <w:lang w:val="sq-AL"/>
        </w:rPr>
      </w:pPr>
      <w:r w:rsidRPr="00C03A20">
        <w:rPr>
          <w:rFonts w:ascii="Times New Roman" w:hAnsi="Times New Roman"/>
          <w:b/>
          <w:bCs/>
          <w:spacing w:val="-4"/>
          <w:sz w:val="28"/>
          <w:szCs w:val="28"/>
          <w:lang w:val="sq-AL"/>
        </w:rPr>
        <w:t xml:space="preserve">KREU III </w:t>
      </w:r>
      <w:r w:rsidRPr="00C03A20">
        <w:rPr>
          <w:rFonts w:ascii="Times New Roman" w:hAnsi="Times New Roman"/>
          <w:spacing w:val="-4"/>
          <w:sz w:val="28"/>
          <w:szCs w:val="28"/>
          <w:lang w:val="sq-AL"/>
        </w:rPr>
        <w:t>“</w:t>
      </w:r>
      <w:r w:rsidR="00E5746A" w:rsidRPr="00C03A20">
        <w:rPr>
          <w:rFonts w:ascii="Times New Roman" w:hAnsi="Times New Roman"/>
          <w:i/>
          <w:iCs/>
          <w:spacing w:val="-4"/>
          <w:sz w:val="28"/>
          <w:szCs w:val="28"/>
          <w:lang w:val="sq-AL"/>
        </w:rPr>
        <w:t>Përbërja</w:t>
      </w:r>
      <w:r w:rsidR="00111DDC" w:rsidRPr="00C03A20">
        <w:rPr>
          <w:rFonts w:ascii="Times New Roman" w:hAnsi="Times New Roman"/>
          <w:i/>
          <w:iCs/>
          <w:spacing w:val="-4"/>
          <w:sz w:val="28"/>
          <w:szCs w:val="28"/>
          <w:lang w:val="sq-AL"/>
        </w:rPr>
        <w:t xml:space="preserve"> e gjykatës së ar</w:t>
      </w:r>
      <w:r w:rsidR="00E5746A" w:rsidRPr="00C03A20">
        <w:rPr>
          <w:rFonts w:ascii="Times New Roman" w:hAnsi="Times New Roman"/>
          <w:i/>
          <w:iCs/>
          <w:spacing w:val="-4"/>
          <w:sz w:val="28"/>
          <w:szCs w:val="28"/>
          <w:lang w:val="sq-AL"/>
        </w:rPr>
        <w:t>bitrazhit</w:t>
      </w:r>
      <w:r w:rsidRPr="00C03A20">
        <w:rPr>
          <w:rFonts w:ascii="Times New Roman" w:hAnsi="Times New Roman"/>
          <w:spacing w:val="-4"/>
          <w:sz w:val="28"/>
          <w:szCs w:val="28"/>
          <w:lang w:val="sq-AL"/>
        </w:rPr>
        <w:t>”</w:t>
      </w:r>
      <w:r w:rsidR="00C84272" w:rsidRPr="00C03A20">
        <w:rPr>
          <w:rFonts w:ascii="Times New Roman" w:hAnsi="Times New Roman"/>
          <w:spacing w:val="-4"/>
          <w:sz w:val="28"/>
          <w:szCs w:val="28"/>
          <w:lang w:val="sq-AL"/>
        </w:rPr>
        <w:t xml:space="preserve"> </w:t>
      </w:r>
      <w:r w:rsidR="0055779F" w:rsidRPr="00C03A20">
        <w:rPr>
          <w:rFonts w:ascii="Times New Roman" w:hAnsi="Times New Roman"/>
          <w:spacing w:val="-4"/>
          <w:sz w:val="28"/>
          <w:szCs w:val="28"/>
          <w:lang w:val="sq-AL"/>
        </w:rPr>
        <w:t xml:space="preserve">parashikon rregullat </w:t>
      </w:r>
      <w:r w:rsidR="001D76C0" w:rsidRPr="00C03A20">
        <w:rPr>
          <w:rFonts w:ascii="Times New Roman" w:hAnsi="Times New Roman"/>
          <w:spacing w:val="-4"/>
          <w:sz w:val="28"/>
          <w:szCs w:val="28"/>
          <w:lang w:val="sq-AL"/>
        </w:rPr>
        <w:t>e zbatueshme p</w:t>
      </w:r>
      <w:r w:rsidR="006B0E72" w:rsidRPr="00C03A20">
        <w:rPr>
          <w:rFonts w:ascii="Times New Roman" w:hAnsi="Times New Roman"/>
          <w:spacing w:val="-4"/>
          <w:sz w:val="28"/>
          <w:szCs w:val="28"/>
          <w:lang w:val="sq-AL"/>
        </w:rPr>
        <w:t>ë</w:t>
      </w:r>
      <w:r w:rsidR="001D76C0" w:rsidRPr="00C03A20">
        <w:rPr>
          <w:rFonts w:ascii="Times New Roman" w:hAnsi="Times New Roman"/>
          <w:spacing w:val="-4"/>
          <w:sz w:val="28"/>
          <w:szCs w:val="28"/>
          <w:lang w:val="sq-AL"/>
        </w:rPr>
        <w:t>r</w:t>
      </w:r>
      <w:r w:rsidR="00111C18" w:rsidRPr="00C03A20">
        <w:rPr>
          <w:rFonts w:ascii="Times New Roman" w:hAnsi="Times New Roman"/>
          <w:spacing w:val="-4"/>
          <w:sz w:val="28"/>
          <w:szCs w:val="28"/>
          <w:lang w:val="sq-AL"/>
        </w:rPr>
        <w:t xml:space="preserve"> em</w:t>
      </w:r>
      <w:r w:rsidR="006B0E72" w:rsidRPr="00C03A20">
        <w:rPr>
          <w:rFonts w:ascii="Times New Roman" w:hAnsi="Times New Roman"/>
          <w:spacing w:val="-4"/>
          <w:sz w:val="28"/>
          <w:szCs w:val="28"/>
          <w:lang w:val="sq-AL"/>
        </w:rPr>
        <w:t>ë</w:t>
      </w:r>
      <w:r w:rsidR="00111C18" w:rsidRPr="00C03A20">
        <w:rPr>
          <w:rFonts w:ascii="Times New Roman" w:hAnsi="Times New Roman"/>
          <w:spacing w:val="-4"/>
          <w:sz w:val="28"/>
          <w:szCs w:val="28"/>
          <w:lang w:val="sq-AL"/>
        </w:rPr>
        <w:t>rimin,</w:t>
      </w:r>
      <w:r w:rsidR="00B44EF9" w:rsidRPr="00C03A20">
        <w:rPr>
          <w:rFonts w:ascii="Times New Roman" w:hAnsi="Times New Roman"/>
          <w:spacing w:val="-4"/>
          <w:sz w:val="28"/>
          <w:szCs w:val="28"/>
          <w:lang w:val="sq-AL"/>
        </w:rPr>
        <w:t xml:space="preserve"> </w:t>
      </w:r>
      <w:r w:rsidR="008E4C8E" w:rsidRPr="00C03A20">
        <w:rPr>
          <w:rFonts w:ascii="Times New Roman" w:hAnsi="Times New Roman"/>
          <w:spacing w:val="-4"/>
          <w:sz w:val="28"/>
          <w:szCs w:val="28"/>
          <w:lang w:val="sq-AL"/>
        </w:rPr>
        <w:t>p</w:t>
      </w:r>
      <w:r w:rsidR="006B0E72" w:rsidRPr="00C03A20">
        <w:rPr>
          <w:rFonts w:ascii="Times New Roman" w:hAnsi="Times New Roman"/>
          <w:spacing w:val="-4"/>
          <w:sz w:val="28"/>
          <w:szCs w:val="28"/>
          <w:lang w:val="sq-AL"/>
        </w:rPr>
        <w:t>ë</w:t>
      </w:r>
      <w:r w:rsidR="008E4C8E" w:rsidRPr="00C03A20">
        <w:rPr>
          <w:rFonts w:ascii="Times New Roman" w:hAnsi="Times New Roman"/>
          <w:spacing w:val="-4"/>
          <w:sz w:val="28"/>
          <w:szCs w:val="28"/>
          <w:lang w:val="sq-AL"/>
        </w:rPr>
        <w:t>rjashtimin</w:t>
      </w:r>
      <w:r w:rsidR="00A30A31" w:rsidRPr="00C03A20">
        <w:rPr>
          <w:rFonts w:ascii="Times New Roman" w:hAnsi="Times New Roman"/>
          <w:spacing w:val="-4"/>
          <w:sz w:val="28"/>
          <w:szCs w:val="28"/>
          <w:lang w:val="sq-AL"/>
        </w:rPr>
        <w:t xml:space="preserve"> si dhe </w:t>
      </w:r>
      <w:r w:rsidR="00F879E6" w:rsidRPr="00C03A20">
        <w:rPr>
          <w:rFonts w:ascii="Times New Roman" w:hAnsi="Times New Roman"/>
          <w:spacing w:val="-4"/>
          <w:sz w:val="28"/>
          <w:szCs w:val="28"/>
          <w:lang w:val="sq-AL"/>
        </w:rPr>
        <w:t>z</w:t>
      </w:r>
      <w:r w:rsidR="006B0E72" w:rsidRPr="00C03A20">
        <w:rPr>
          <w:rFonts w:ascii="Times New Roman" w:hAnsi="Times New Roman"/>
          <w:spacing w:val="-4"/>
          <w:sz w:val="28"/>
          <w:szCs w:val="28"/>
          <w:lang w:val="sq-AL"/>
        </w:rPr>
        <w:t>ë</w:t>
      </w:r>
      <w:r w:rsidR="00F879E6" w:rsidRPr="00C03A20">
        <w:rPr>
          <w:rFonts w:ascii="Times New Roman" w:hAnsi="Times New Roman"/>
          <w:spacing w:val="-4"/>
          <w:sz w:val="28"/>
          <w:szCs w:val="28"/>
          <w:lang w:val="sq-AL"/>
        </w:rPr>
        <w:t>vend</w:t>
      </w:r>
      <w:r w:rsidR="006B0E72" w:rsidRPr="00C03A20">
        <w:rPr>
          <w:rFonts w:ascii="Times New Roman" w:hAnsi="Times New Roman"/>
          <w:spacing w:val="-4"/>
          <w:sz w:val="28"/>
          <w:szCs w:val="28"/>
          <w:lang w:val="sq-AL"/>
        </w:rPr>
        <w:t>ë</w:t>
      </w:r>
      <w:r w:rsidR="00F879E6" w:rsidRPr="00C03A20">
        <w:rPr>
          <w:rFonts w:ascii="Times New Roman" w:hAnsi="Times New Roman"/>
          <w:spacing w:val="-4"/>
          <w:sz w:val="28"/>
          <w:szCs w:val="28"/>
          <w:lang w:val="sq-AL"/>
        </w:rPr>
        <w:t xml:space="preserve">simin </w:t>
      </w:r>
      <w:r w:rsidR="00A30A31" w:rsidRPr="00C03A20">
        <w:rPr>
          <w:rFonts w:ascii="Times New Roman" w:hAnsi="Times New Roman"/>
          <w:spacing w:val="-4"/>
          <w:sz w:val="28"/>
          <w:szCs w:val="28"/>
          <w:lang w:val="sq-AL"/>
        </w:rPr>
        <w:t>e Arbitrave</w:t>
      </w:r>
      <w:r w:rsidR="00536ECB" w:rsidRPr="00C03A20">
        <w:rPr>
          <w:rFonts w:ascii="Times New Roman" w:hAnsi="Times New Roman"/>
          <w:spacing w:val="-4"/>
          <w:sz w:val="28"/>
          <w:szCs w:val="28"/>
          <w:lang w:val="sq-AL"/>
        </w:rPr>
        <w:t xml:space="preserve"> n</w:t>
      </w:r>
      <w:r w:rsidR="006B0E72" w:rsidRPr="00C03A20">
        <w:rPr>
          <w:rFonts w:ascii="Times New Roman" w:hAnsi="Times New Roman"/>
          <w:spacing w:val="-4"/>
          <w:sz w:val="28"/>
          <w:szCs w:val="28"/>
          <w:lang w:val="sq-AL"/>
        </w:rPr>
        <w:t>ë</w:t>
      </w:r>
      <w:r w:rsidR="00536ECB" w:rsidRPr="00C03A20">
        <w:rPr>
          <w:rFonts w:ascii="Times New Roman" w:hAnsi="Times New Roman"/>
          <w:spacing w:val="-4"/>
          <w:sz w:val="28"/>
          <w:szCs w:val="28"/>
          <w:lang w:val="sq-AL"/>
        </w:rPr>
        <w:t xml:space="preserve"> p</w:t>
      </w:r>
      <w:r w:rsidR="006B0E72" w:rsidRPr="00C03A20">
        <w:rPr>
          <w:rFonts w:ascii="Times New Roman" w:hAnsi="Times New Roman"/>
          <w:spacing w:val="-4"/>
          <w:sz w:val="28"/>
          <w:szCs w:val="28"/>
          <w:lang w:val="sq-AL"/>
        </w:rPr>
        <w:t>ë</w:t>
      </w:r>
      <w:r w:rsidR="00536ECB" w:rsidRPr="00C03A20">
        <w:rPr>
          <w:rFonts w:ascii="Times New Roman" w:hAnsi="Times New Roman"/>
          <w:spacing w:val="-4"/>
          <w:sz w:val="28"/>
          <w:szCs w:val="28"/>
          <w:lang w:val="sq-AL"/>
        </w:rPr>
        <w:t xml:space="preserve">rputhje me parashikimet e neneve </w:t>
      </w:r>
      <w:r w:rsidR="00CD65FD" w:rsidRPr="00C03A20">
        <w:rPr>
          <w:rFonts w:ascii="Times New Roman" w:hAnsi="Times New Roman"/>
          <w:spacing w:val="-4"/>
          <w:sz w:val="28"/>
          <w:szCs w:val="28"/>
          <w:lang w:val="sq-AL"/>
        </w:rPr>
        <w:t xml:space="preserve">10, 11, 12, 13, 14 dhe 15 </w:t>
      </w:r>
      <w:r w:rsidR="003474C8" w:rsidRPr="00C03A20">
        <w:rPr>
          <w:rFonts w:ascii="Times New Roman" w:hAnsi="Times New Roman"/>
          <w:spacing w:val="-4"/>
          <w:sz w:val="28"/>
          <w:szCs w:val="28"/>
          <w:lang w:val="sq-AL"/>
        </w:rPr>
        <w:t>t</w:t>
      </w:r>
      <w:r w:rsidR="006B0E72" w:rsidRPr="00C03A20">
        <w:rPr>
          <w:rFonts w:ascii="Times New Roman" w:hAnsi="Times New Roman"/>
          <w:spacing w:val="-4"/>
          <w:sz w:val="28"/>
          <w:szCs w:val="28"/>
          <w:lang w:val="sq-AL"/>
        </w:rPr>
        <w:t>ë</w:t>
      </w:r>
      <w:r w:rsidR="003474C8" w:rsidRPr="00C03A20">
        <w:rPr>
          <w:rFonts w:ascii="Times New Roman" w:hAnsi="Times New Roman"/>
          <w:spacing w:val="-4"/>
          <w:sz w:val="28"/>
          <w:szCs w:val="28"/>
          <w:lang w:val="sq-AL"/>
        </w:rPr>
        <w:t xml:space="preserve"> ligjit model UNCITRAL</w:t>
      </w:r>
      <w:r w:rsidR="0070419A" w:rsidRPr="00C03A20">
        <w:rPr>
          <w:rFonts w:ascii="Times New Roman" w:hAnsi="Times New Roman"/>
          <w:spacing w:val="-4"/>
          <w:sz w:val="28"/>
          <w:szCs w:val="28"/>
          <w:lang w:val="sq-AL"/>
        </w:rPr>
        <w:t xml:space="preserve"> dhe </w:t>
      </w:r>
      <w:r w:rsidR="00327F00" w:rsidRPr="00C03A20">
        <w:rPr>
          <w:rFonts w:ascii="Times New Roman" w:hAnsi="Times New Roman"/>
          <w:spacing w:val="-4"/>
          <w:sz w:val="28"/>
          <w:szCs w:val="28"/>
          <w:lang w:val="sq-AL"/>
        </w:rPr>
        <w:t xml:space="preserve">që </w:t>
      </w:r>
      <w:r w:rsidR="00277D79" w:rsidRPr="00C03A20">
        <w:rPr>
          <w:rFonts w:ascii="Times New Roman" w:hAnsi="Times New Roman"/>
          <w:spacing w:val="-4"/>
          <w:sz w:val="28"/>
          <w:szCs w:val="28"/>
          <w:lang w:val="sq-AL"/>
        </w:rPr>
        <w:t>jan</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xml:space="preserve"> t</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xml:space="preserve"> ngjashme me dispozitat mbi arbitrazhin t</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xml:space="preserve"> Austris</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Gjermanis</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Italis</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Kroacis</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Polonis</w:t>
      </w:r>
      <w:r w:rsidR="006B0E72" w:rsidRPr="00C03A20">
        <w:rPr>
          <w:rFonts w:ascii="Times New Roman" w:hAnsi="Times New Roman"/>
          <w:spacing w:val="-4"/>
          <w:sz w:val="28"/>
          <w:szCs w:val="28"/>
          <w:lang w:val="sq-AL"/>
        </w:rPr>
        <w:t>ë</w:t>
      </w:r>
      <w:r w:rsidR="00277D79" w:rsidRPr="00C03A20">
        <w:rPr>
          <w:rFonts w:ascii="Times New Roman" w:hAnsi="Times New Roman"/>
          <w:spacing w:val="-4"/>
          <w:sz w:val="28"/>
          <w:szCs w:val="28"/>
          <w:lang w:val="sq-AL"/>
        </w:rPr>
        <w:t xml:space="preserve"> dhe Sllovenis</w:t>
      </w:r>
      <w:r w:rsidR="006B0E72" w:rsidRPr="00C03A20">
        <w:rPr>
          <w:rFonts w:ascii="Times New Roman" w:hAnsi="Times New Roman"/>
          <w:spacing w:val="-4"/>
          <w:sz w:val="28"/>
          <w:szCs w:val="28"/>
          <w:lang w:val="sq-AL"/>
        </w:rPr>
        <w:t>ë</w:t>
      </w:r>
      <w:r w:rsidR="003474C8" w:rsidRPr="00C03A20">
        <w:rPr>
          <w:rFonts w:ascii="Times New Roman" w:hAnsi="Times New Roman"/>
          <w:spacing w:val="-4"/>
          <w:sz w:val="28"/>
          <w:szCs w:val="28"/>
          <w:lang w:val="sq-AL"/>
        </w:rPr>
        <w:t>.</w:t>
      </w:r>
      <w:r w:rsidR="00D43805" w:rsidRPr="00C03A20">
        <w:rPr>
          <w:rFonts w:ascii="Times New Roman" w:hAnsi="Times New Roman"/>
          <w:spacing w:val="-4"/>
          <w:sz w:val="28"/>
          <w:szCs w:val="28"/>
          <w:lang w:val="sq-AL"/>
        </w:rPr>
        <w:t xml:space="preserve"> </w:t>
      </w:r>
    </w:p>
    <w:p w:rsidR="00417A0F" w:rsidRPr="00C03A20" w:rsidRDefault="00417A0F" w:rsidP="00C03A20">
      <w:pPr>
        <w:spacing w:after="0"/>
        <w:jc w:val="both"/>
        <w:rPr>
          <w:rFonts w:ascii="Times New Roman" w:hAnsi="Times New Roman"/>
          <w:spacing w:val="-4"/>
          <w:sz w:val="28"/>
          <w:szCs w:val="28"/>
          <w:lang w:val="sq-AL"/>
        </w:rPr>
      </w:pPr>
    </w:p>
    <w:p w:rsidR="00A75F50" w:rsidRPr="00C03A20" w:rsidRDefault="00D43805"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 xml:space="preserve">Neni </w:t>
      </w:r>
      <w:r w:rsidR="00A75F50" w:rsidRPr="00C03A20">
        <w:rPr>
          <w:rFonts w:ascii="Times New Roman" w:hAnsi="Times New Roman"/>
          <w:spacing w:val="-4"/>
          <w:sz w:val="28"/>
          <w:szCs w:val="28"/>
          <w:lang w:val="sq-AL"/>
        </w:rPr>
        <w:t>1</w:t>
      </w:r>
      <w:r w:rsidR="00B60131" w:rsidRPr="00C03A20">
        <w:rPr>
          <w:rFonts w:ascii="Times New Roman" w:hAnsi="Times New Roman"/>
          <w:spacing w:val="-4"/>
          <w:sz w:val="28"/>
          <w:szCs w:val="28"/>
          <w:lang w:val="sq-AL"/>
        </w:rPr>
        <w:t>2, i projektligjit</w:t>
      </w:r>
      <w:r w:rsidR="00A75F50" w:rsidRPr="00C03A20">
        <w:rPr>
          <w:rFonts w:ascii="Times New Roman" w:hAnsi="Times New Roman"/>
          <w:spacing w:val="-4"/>
          <w:sz w:val="28"/>
          <w:szCs w:val="28"/>
          <w:lang w:val="sq-AL"/>
        </w:rPr>
        <w:t xml:space="preserve"> p</w:t>
      </w:r>
      <w:r w:rsidR="006B0E72" w:rsidRPr="00C03A20">
        <w:rPr>
          <w:rFonts w:ascii="Times New Roman" w:hAnsi="Times New Roman"/>
          <w:spacing w:val="-4"/>
          <w:sz w:val="28"/>
          <w:szCs w:val="28"/>
          <w:lang w:val="sq-AL"/>
        </w:rPr>
        <w:t>ë</w:t>
      </w:r>
      <w:r w:rsidR="00A75F50" w:rsidRPr="00C03A20">
        <w:rPr>
          <w:rFonts w:ascii="Times New Roman" w:hAnsi="Times New Roman"/>
          <w:spacing w:val="-4"/>
          <w:sz w:val="28"/>
          <w:szCs w:val="28"/>
          <w:lang w:val="sq-AL"/>
        </w:rPr>
        <w:t>rmban</w:t>
      </w:r>
      <w:r w:rsidR="00A276DA" w:rsidRPr="00C03A20">
        <w:rPr>
          <w:rFonts w:ascii="Times New Roman" w:hAnsi="Times New Roman"/>
          <w:spacing w:val="-4"/>
          <w:sz w:val="28"/>
          <w:szCs w:val="28"/>
          <w:lang w:val="sq-AL"/>
        </w:rPr>
        <w:t xml:space="preserve"> </w:t>
      </w:r>
      <w:r w:rsidR="00F275ED" w:rsidRPr="00C03A20">
        <w:rPr>
          <w:rFonts w:ascii="Times New Roman" w:hAnsi="Times New Roman"/>
          <w:spacing w:val="-4"/>
          <w:sz w:val="28"/>
          <w:szCs w:val="28"/>
          <w:lang w:val="sq-AL"/>
        </w:rPr>
        <w:t>rregullat mbi numrin e arbitrave</w:t>
      </w:r>
      <w:r w:rsidR="00A75F50" w:rsidRPr="00C03A20">
        <w:rPr>
          <w:rFonts w:ascii="Times New Roman" w:hAnsi="Times New Roman"/>
          <w:spacing w:val="-4"/>
          <w:sz w:val="28"/>
          <w:szCs w:val="28"/>
          <w:lang w:val="sq-AL"/>
        </w:rPr>
        <w:t>,</w:t>
      </w:r>
      <w:r w:rsidR="002E5D14" w:rsidRPr="00C03A20">
        <w:rPr>
          <w:rFonts w:ascii="Times New Roman" w:hAnsi="Times New Roman"/>
          <w:spacing w:val="-4"/>
          <w:sz w:val="28"/>
          <w:szCs w:val="28"/>
          <w:lang w:val="sq-AL"/>
        </w:rPr>
        <w:t xml:space="preserve"> i cili si rregull </w:t>
      </w:r>
      <w:r w:rsidR="006B0E72" w:rsidRPr="00C03A20">
        <w:rPr>
          <w:rFonts w:ascii="Times New Roman" w:hAnsi="Times New Roman"/>
          <w:spacing w:val="-4"/>
          <w:sz w:val="28"/>
          <w:szCs w:val="28"/>
          <w:lang w:val="sq-AL"/>
        </w:rPr>
        <w:t>ë</w:t>
      </w:r>
      <w:r w:rsidR="002E5D14" w:rsidRPr="00C03A20">
        <w:rPr>
          <w:rFonts w:ascii="Times New Roman" w:hAnsi="Times New Roman"/>
          <w:spacing w:val="-4"/>
          <w:sz w:val="28"/>
          <w:szCs w:val="28"/>
          <w:lang w:val="sq-AL"/>
        </w:rPr>
        <w:t>sht</w:t>
      </w:r>
      <w:r w:rsidR="006B0E72" w:rsidRPr="00C03A20">
        <w:rPr>
          <w:rFonts w:ascii="Times New Roman" w:hAnsi="Times New Roman"/>
          <w:spacing w:val="-4"/>
          <w:sz w:val="28"/>
          <w:szCs w:val="28"/>
          <w:lang w:val="sq-AL"/>
        </w:rPr>
        <w:t>ë</w:t>
      </w:r>
      <w:r w:rsidR="002E5D14" w:rsidRPr="00C03A20">
        <w:rPr>
          <w:rFonts w:ascii="Times New Roman" w:hAnsi="Times New Roman"/>
          <w:spacing w:val="-4"/>
          <w:sz w:val="28"/>
          <w:szCs w:val="28"/>
          <w:lang w:val="sq-AL"/>
        </w:rPr>
        <w:t xml:space="preserve"> tre p</w:t>
      </w:r>
      <w:r w:rsidR="006B0E72" w:rsidRPr="00C03A20">
        <w:rPr>
          <w:rFonts w:ascii="Times New Roman" w:hAnsi="Times New Roman"/>
          <w:spacing w:val="-4"/>
          <w:sz w:val="28"/>
          <w:szCs w:val="28"/>
          <w:lang w:val="sq-AL"/>
        </w:rPr>
        <w:t>ë</w:t>
      </w:r>
      <w:r w:rsidR="002E5D14" w:rsidRPr="00C03A20">
        <w:rPr>
          <w:rFonts w:ascii="Times New Roman" w:hAnsi="Times New Roman"/>
          <w:spacing w:val="-4"/>
          <w:sz w:val="28"/>
          <w:szCs w:val="28"/>
          <w:lang w:val="sq-AL"/>
        </w:rPr>
        <w:t>r aq sa pal</w:t>
      </w:r>
      <w:r w:rsidR="006B0E72" w:rsidRPr="00C03A20">
        <w:rPr>
          <w:rFonts w:ascii="Times New Roman" w:hAnsi="Times New Roman"/>
          <w:spacing w:val="-4"/>
          <w:sz w:val="28"/>
          <w:szCs w:val="28"/>
          <w:lang w:val="sq-AL"/>
        </w:rPr>
        <w:t>ë</w:t>
      </w:r>
      <w:r w:rsidR="002E5D14" w:rsidRPr="00C03A20">
        <w:rPr>
          <w:rFonts w:ascii="Times New Roman" w:hAnsi="Times New Roman"/>
          <w:spacing w:val="-4"/>
          <w:sz w:val="28"/>
          <w:szCs w:val="28"/>
          <w:lang w:val="sq-AL"/>
        </w:rPr>
        <w:t>t nuk j</w:t>
      </w:r>
      <w:r w:rsidR="00D117B4" w:rsidRPr="00C03A20">
        <w:rPr>
          <w:rFonts w:ascii="Times New Roman" w:hAnsi="Times New Roman"/>
          <w:spacing w:val="-4"/>
          <w:sz w:val="28"/>
          <w:szCs w:val="28"/>
          <w:lang w:val="sq-AL"/>
        </w:rPr>
        <w:t>an</w:t>
      </w:r>
      <w:r w:rsidR="006B0E72" w:rsidRPr="00C03A20">
        <w:rPr>
          <w:rFonts w:ascii="Times New Roman" w:hAnsi="Times New Roman"/>
          <w:spacing w:val="-4"/>
          <w:sz w:val="28"/>
          <w:szCs w:val="28"/>
          <w:lang w:val="sq-AL"/>
        </w:rPr>
        <w:t>ë</w:t>
      </w:r>
      <w:r w:rsidR="00D117B4" w:rsidRPr="00C03A20">
        <w:rPr>
          <w:rFonts w:ascii="Times New Roman" w:hAnsi="Times New Roman"/>
          <w:spacing w:val="-4"/>
          <w:sz w:val="28"/>
          <w:szCs w:val="28"/>
          <w:lang w:val="sq-AL"/>
        </w:rPr>
        <w:t xml:space="preserve"> dakord</w:t>
      </w:r>
      <w:r w:rsidR="006B0E72" w:rsidRPr="00C03A20">
        <w:rPr>
          <w:rFonts w:ascii="Times New Roman" w:hAnsi="Times New Roman"/>
          <w:spacing w:val="-4"/>
          <w:sz w:val="28"/>
          <w:szCs w:val="28"/>
          <w:lang w:val="sq-AL"/>
        </w:rPr>
        <w:t>ë</w:t>
      </w:r>
      <w:r w:rsidR="00D117B4" w:rsidRPr="00C03A20">
        <w:rPr>
          <w:rFonts w:ascii="Times New Roman" w:hAnsi="Times New Roman"/>
          <w:spacing w:val="-4"/>
          <w:sz w:val="28"/>
          <w:szCs w:val="28"/>
          <w:lang w:val="sq-AL"/>
        </w:rPr>
        <w:t>suar ndryshe.</w:t>
      </w:r>
      <w:r w:rsidR="003C53B0" w:rsidRPr="00C03A20">
        <w:rPr>
          <w:rFonts w:ascii="Times New Roman" w:hAnsi="Times New Roman"/>
          <w:spacing w:val="-4"/>
          <w:sz w:val="28"/>
          <w:szCs w:val="28"/>
          <w:lang w:val="sq-AL"/>
        </w:rPr>
        <w:t xml:space="preserve"> </w:t>
      </w:r>
      <w:r w:rsidR="00D96319" w:rsidRPr="00C03A20">
        <w:rPr>
          <w:rFonts w:ascii="Times New Roman" w:hAnsi="Times New Roman"/>
          <w:spacing w:val="-4"/>
          <w:sz w:val="28"/>
          <w:szCs w:val="28"/>
          <w:lang w:val="sq-AL"/>
        </w:rPr>
        <w:t>Nd</w:t>
      </w:r>
      <w:r w:rsidR="006B0E72" w:rsidRPr="00C03A20">
        <w:rPr>
          <w:rFonts w:ascii="Times New Roman" w:hAnsi="Times New Roman"/>
          <w:spacing w:val="-4"/>
          <w:sz w:val="28"/>
          <w:szCs w:val="28"/>
          <w:lang w:val="sq-AL"/>
        </w:rPr>
        <w:t>ë</w:t>
      </w:r>
      <w:r w:rsidR="00D96319" w:rsidRPr="00C03A20">
        <w:rPr>
          <w:rFonts w:ascii="Times New Roman" w:hAnsi="Times New Roman"/>
          <w:spacing w:val="-4"/>
          <w:sz w:val="28"/>
          <w:szCs w:val="28"/>
          <w:lang w:val="sq-AL"/>
        </w:rPr>
        <w:t>rkoh</w:t>
      </w:r>
      <w:r w:rsidR="006B0E72" w:rsidRPr="00C03A20">
        <w:rPr>
          <w:rFonts w:ascii="Times New Roman" w:hAnsi="Times New Roman"/>
          <w:spacing w:val="-4"/>
          <w:sz w:val="28"/>
          <w:szCs w:val="28"/>
          <w:lang w:val="sq-AL"/>
        </w:rPr>
        <w:t>ë</w:t>
      </w:r>
      <w:r w:rsidR="00D96319" w:rsidRPr="00C03A20">
        <w:rPr>
          <w:rFonts w:ascii="Times New Roman" w:hAnsi="Times New Roman"/>
          <w:spacing w:val="-4"/>
          <w:sz w:val="28"/>
          <w:szCs w:val="28"/>
          <w:lang w:val="sq-AL"/>
        </w:rPr>
        <w:t>, neni 1</w:t>
      </w:r>
      <w:r w:rsidR="00B60131" w:rsidRPr="00C03A20">
        <w:rPr>
          <w:rFonts w:ascii="Times New Roman" w:hAnsi="Times New Roman"/>
          <w:spacing w:val="-4"/>
          <w:sz w:val="28"/>
          <w:szCs w:val="28"/>
          <w:lang w:val="sq-AL"/>
        </w:rPr>
        <w:t>3,</w:t>
      </w:r>
      <w:r w:rsidR="00D96319" w:rsidRPr="00C03A20">
        <w:rPr>
          <w:rFonts w:ascii="Times New Roman" w:hAnsi="Times New Roman"/>
          <w:spacing w:val="-4"/>
          <w:sz w:val="28"/>
          <w:szCs w:val="28"/>
          <w:lang w:val="sq-AL"/>
        </w:rPr>
        <w:t xml:space="preserve"> i projektligjit parashikon </w:t>
      </w:r>
      <w:r w:rsidR="003C53B0" w:rsidRPr="00C03A20">
        <w:rPr>
          <w:rFonts w:ascii="Times New Roman" w:hAnsi="Times New Roman"/>
          <w:spacing w:val="-4"/>
          <w:sz w:val="28"/>
          <w:szCs w:val="28"/>
          <w:lang w:val="sq-AL"/>
        </w:rPr>
        <w:t>rregullat e zbatueshme p</w:t>
      </w:r>
      <w:r w:rsidR="006B0E72" w:rsidRPr="00C03A20">
        <w:rPr>
          <w:rFonts w:ascii="Times New Roman" w:hAnsi="Times New Roman"/>
          <w:spacing w:val="-4"/>
          <w:sz w:val="28"/>
          <w:szCs w:val="28"/>
          <w:lang w:val="sq-AL"/>
        </w:rPr>
        <w:t>ë</w:t>
      </w:r>
      <w:r w:rsidR="003C53B0" w:rsidRPr="00C03A20">
        <w:rPr>
          <w:rFonts w:ascii="Times New Roman" w:hAnsi="Times New Roman"/>
          <w:spacing w:val="-4"/>
          <w:sz w:val="28"/>
          <w:szCs w:val="28"/>
          <w:lang w:val="sq-AL"/>
        </w:rPr>
        <w:t xml:space="preserve">r </w:t>
      </w:r>
      <w:r w:rsidR="00F9374F" w:rsidRPr="00C03A20">
        <w:rPr>
          <w:rFonts w:ascii="Times New Roman" w:hAnsi="Times New Roman"/>
          <w:spacing w:val="-4"/>
          <w:sz w:val="28"/>
          <w:szCs w:val="28"/>
          <w:lang w:val="sq-AL"/>
        </w:rPr>
        <w:t>em</w:t>
      </w:r>
      <w:r w:rsidR="006B0E72" w:rsidRPr="00C03A20">
        <w:rPr>
          <w:rFonts w:ascii="Times New Roman" w:hAnsi="Times New Roman"/>
          <w:spacing w:val="-4"/>
          <w:sz w:val="28"/>
          <w:szCs w:val="28"/>
          <w:lang w:val="sq-AL"/>
        </w:rPr>
        <w:t>ë</w:t>
      </w:r>
      <w:r w:rsidR="00F9374F" w:rsidRPr="00C03A20">
        <w:rPr>
          <w:rFonts w:ascii="Times New Roman" w:hAnsi="Times New Roman"/>
          <w:spacing w:val="-4"/>
          <w:sz w:val="28"/>
          <w:szCs w:val="28"/>
          <w:lang w:val="sq-AL"/>
        </w:rPr>
        <w:t xml:space="preserve">rimin e arbitrave, ku </w:t>
      </w:r>
      <w:r w:rsidR="001939F1" w:rsidRPr="00C03A20">
        <w:rPr>
          <w:rFonts w:ascii="Times New Roman" w:hAnsi="Times New Roman"/>
          <w:spacing w:val="-4"/>
          <w:sz w:val="28"/>
          <w:szCs w:val="28"/>
          <w:lang w:val="sq-AL"/>
        </w:rPr>
        <w:t>n</w:t>
      </w:r>
      <w:r w:rsidR="006B0E72" w:rsidRPr="00C03A20">
        <w:rPr>
          <w:rFonts w:ascii="Times New Roman" w:hAnsi="Times New Roman"/>
          <w:spacing w:val="-4"/>
          <w:sz w:val="28"/>
          <w:szCs w:val="28"/>
          <w:lang w:val="sq-AL"/>
        </w:rPr>
        <w:t>ë</w:t>
      </w:r>
      <w:r w:rsidR="001939F1" w:rsidRPr="00C03A20">
        <w:rPr>
          <w:rFonts w:ascii="Times New Roman" w:hAnsi="Times New Roman"/>
          <w:spacing w:val="-4"/>
          <w:sz w:val="28"/>
          <w:szCs w:val="28"/>
          <w:lang w:val="sq-AL"/>
        </w:rPr>
        <w:t xml:space="preserve"> rast t</w:t>
      </w:r>
      <w:r w:rsidR="006B0E72" w:rsidRPr="00C03A20">
        <w:rPr>
          <w:rFonts w:ascii="Times New Roman" w:hAnsi="Times New Roman"/>
          <w:spacing w:val="-4"/>
          <w:sz w:val="28"/>
          <w:szCs w:val="28"/>
          <w:lang w:val="sq-AL"/>
        </w:rPr>
        <w:t>ë</w:t>
      </w:r>
      <w:r w:rsidR="001939F1" w:rsidRPr="00C03A20">
        <w:rPr>
          <w:rFonts w:ascii="Times New Roman" w:hAnsi="Times New Roman"/>
          <w:spacing w:val="-4"/>
          <w:sz w:val="28"/>
          <w:szCs w:val="28"/>
          <w:lang w:val="sq-AL"/>
        </w:rPr>
        <w:t xml:space="preserve"> arbitrit t</w:t>
      </w:r>
      <w:r w:rsidR="006B0E72" w:rsidRPr="00C03A20">
        <w:rPr>
          <w:rFonts w:ascii="Times New Roman" w:hAnsi="Times New Roman"/>
          <w:spacing w:val="-4"/>
          <w:sz w:val="28"/>
          <w:szCs w:val="28"/>
          <w:lang w:val="sq-AL"/>
        </w:rPr>
        <w:t>ë</w:t>
      </w:r>
      <w:r w:rsidR="001939F1" w:rsidRPr="00C03A20">
        <w:rPr>
          <w:rFonts w:ascii="Times New Roman" w:hAnsi="Times New Roman"/>
          <w:spacing w:val="-4"/>
          <w:sz w:val="28"/>
          <w:szCs w:val="28"/>
          <w:lang w:val="sq-AL"/>
        </w:rPr>
        <w:t xml:space="preserve"> vet</w:t>
      </w:r>
      <w:r w:rsidR="006B0E72" w:rsidRPr="00C03A20">
        <w:rPr>
          <w:rFonts w:ascii="Times New Roman" w:hAnsi="Times New Roman"/>
          <w:spacing w:val="-4"/>
          <w:sz w:val="28"/>
          <w:szCs w:val="28"/>
          <w:lang w:val="sq-AL"/>
        </w:rPr>
        <w:t>ë</w:t>
      </w:r>
      <w:r w:rsidR="001939F1" w:rsidRPr="00C03A20">
        <w:rPr>
          <w:rFonts w:ascii="Times New Roman" w:hAnsi="Times New Roman"/>
          <w:spacing w:val="-4"/>
          <w:sz w:val="28"/>
          <w:szCs w:val="28"/>
          <w:lang w:val="sq-AL"/>
        </w:rPr>
        <w:t>m ky i fundit em</w:t>
      </w:r>
      <w:r w:rsidR="006B0E72" w:rsidRPr="00C03A20">
        <w:rPr>
          <w:rFonts w:ascii="Times New Roman" w:hAnsi="Times New Roman"/>
          <w:spacing w:val="-4"/>
          <w:sz w:val="28"/>
          <w:szCs w:val="28"/>
          <w:lang w:val="sq-AL"/>
        </w:rPr>
        <w:t>ë</w:t>
      </w:r>
      <w:r w:rsidR="001939F1" w:rsidRPr="00C03A20">
        <w:rPr>
          <w:rFonts w:ascii="Times New Roman" w:hAnsi="Times New Roman"/>
          <w:spacing w:val="-4"/>
          <w:sz w:val="28"/>
          <w:szCs w:val="28"/>
          <w:lang w:val="sq-AL"/>
        </w:rPr>
        <w:t>rohet me d</w:t>
      </w:r>
      <w:r w:rsidR="00136A5B" w:rsidRPr="00C03A20">
        <w:rPr>
          <w:rFonts w:ascii="Times New Roman" w:hAnsi="Times New Roman"/>
          <w:spacing w:val="-4"/>
          <w:sz w:val="28"/>
          <w:szCs w:val="28"/>
          <w:lang w:val="sq-AL"/>
        </w:rPr>
        <w:t>akord</w:t>
      </w:r>
      <w:r w:rsidR="006B0E72" w:rsidRPr="00C03A20">
        <w:rPr>
          <w:rFonts w:ascii="Times New Roman" w:hAnsi="Times New Roman"/>
          <w:spacing w:val="-4"/>
          <w:sz w:val="28"/>
          <w:szCs w:val="28"/>
          <w:lang w:val="sq-AL"/>
        </w:rPr>
        <w:t>ë</w:t>
      </w:r>
      <w:r w:rsidR="00136A5B" w:rsidRPr="00C03A20">
        <w:rPr>
          <w:rFonts w:ascii="Times New Roman" w:hAnsi="Times New Roman"/>
          <w:spacing w:val="-4"/>
          <w:sz w:val="28"/>
          <w:szCs w:val="28"/>
          <w:lang w:val="sq-AL"/>
        </w:rPr>
        <w:t>si t</w:t>
      </w:r>
      <w:r w:rsidR="006B0E72" w:rsidRPr="00C03A20">
        <w:rPr>
          <w:rFonts w:ascii="Times New Roman" w:hAnsi="Times New Roman"/>
          <w:spacing w:val="-4"/>
          <w:sz w:val="28"/>
          <w:szCs w:val="28"/>
          <w:lang w:val="sq-AL"/>
        </w:rPr>
        <w:t>ë</w:t>
      </w:r>
      <w:r w:rsidR="00136A5B" w:rsidRPr="00C03A20">
        <w:rPr>
          <w:rFonts w:ascii="Times New Roman" w:hAnsi="Times New Roman"/>
          <w:spacing w:val="-4"/>
          <w:sz w:val="28"/>
          <w:szCs w:val="28"/>
          <w:lang w:val="sq-AL"/>
        </w:rPr>
        <w:t xml:space="preserve"> pal</w:t>
      </w:r>
      <w:r w:rsidR="006B0E72" w:rsidRPr="00C03A20">
        <w:rPr>
          <w:rFonts w:ascii="Times New Roman" w:hAnsi="Times New Roman"/>
          <w:spacing w:val="-4"/>
          <w:sz w:val="28"/>
          <w:szCs w:val="28"/>
          <w:lang w:val="sq-AL"/>
        </w:rPr>
        <w:t>ë</w:t>
      </w:r>
      <w:r w:rsidR="00136A5B" w:rsidRPr="00C03A20">
        <w:rPr>
          <w:rFonts w:ascii="Times New Roman" w:hAnsi="Times New Roman"/>
          <w:spacing w:val="-4"/>
          <w:sz w:val="28"/>
          <w:szCs w:val="28"/>
          <w:lang w:val="sq-AL"/>
        </w:rPr>
        <w:t>ve dhe n</w:t>
      </w:r>
      <w:r w:rsidR="006B0E72" w:rsidRPr="00C03A20">
        <w:rPr>
          <w:rFonts w:ascii="Times New Roman" w:hAnsi="Times New Roman"/>
          <w:spacing w:val="-4"/>
          <w:sz w:val="28"/>
          <w:szCs w:val="28"/>
          <w:lang w:val="sq-AL"/>
        </w:rPr>
        <w:t>ë</w:t>
      </w:r>
      <w:r w:rsidR="00136A5B" w:rsidRPr="00C03A20">
        <w:rPr>
          <w:rFonts w:ascii="Times New Roman" w:hAnsi="Times New Roman"/>
          <w:spacing w:val="-4"/>
          <w:sz w:val="28"/>
          <w:szCs w:val="28"/>
          <w:lang w:val="sq-AL"/>
        </w:rPr>
        <w:t xml:space="preserve"> rast t</w:t>
      </w:r>
      <w:r w:rsidR="006B0E72" w:rsidRPr="00C03A20">
        <w:rPr>
          <w:rFonts w:ascii="Times New Roman" w:hAnsi="Times New Roman"/>
          <w:spacing w:val="-4"/>
          <w:sz w:val="28"/>
          <w:szCs w:val="28"/>
          <w:lang w:val="sq-AL"/>
        </w:rPr>
        <w:t>ë</w:t>
      </w:r>
      <w:r w:rsidR="00136A5B" w:rsidRPr="00C03A20">
        <w:rPr>
          <w:rFonts w:ascii="Times New Roman" w:hAnsi="Times New Roman"/>
          <w:spacing w:val="-4"/>
          <w:sz w:val="28"/>
          <w:szCs w:val="28"/>
          <w:lang w:val="sq-AL"/>
        </w:rPr>
        <w:t xml:space="preserve"> </w:t>
      </w:r>
      <w:r w:rsidR="002B7261" w:rsidRPr="00C03A20">
        <w:rPr>
          <w:rFonts w:ascii="Times New Roman" w:hAnsi="Times New Roman"/>
          <w:spacing w:val="-4"/>
          <w:sz w:val="28"/>
          <w:szCs w:val="28"/>
          <w:lang w:val="sq-AL"/>
        </w:rPr>
        <w:t xml:space="preserve">trupit gjykues me tre arbitra, </w:t>
      </w:r>
      <w:r w:rsidR="00236797" w:rsidRPr="00C03A20">
        <w:rPr>
          <w:rFonts w:ascii="Times New Roman" w:hAnsi="Times New Roman"/>
          <w:spacing w:val="-4"/>
          <w:sz w:val="28"/>
          <w:szCs w:val="28"/>
          <w:lang w:val="sq-AL"/>
        </w:rPr>
        <w:t>s</w:t>
      </w:r>
      <w:r w:rsidR="00DB776D" w:rsidRPr="00C03A20">
        <w:rPr>
          <w:rFonts w:ascii="Times New Roman" w:hAnsi="Times New Roman"/>
          <w:spacing w:val="-4"/>
          <w:sz w:val="28"/>
          <w:szCs w:val="28"/>
          <w:lang w:val="sq-AL"/>
        </w:rPr>
        <w:t>ecila palë emëron një arbitër dhe dy arbitrat e emëruar nga palët emërojnë arbitrin e tretë</w:t>
      </w:r>
      <w:r w:rsidR="00417A0F" w:rsidRPr="00C03A20">
        <w:rPr>
          <w:rFonts w:ascii="Times New Roman" w:hAnsi="Times New Roman"/>
          <w:spacing w:val="-4"/>
          <w:sz w:val="28"/>
          <w:szCs w:val="28"/>
          <w:lang w:val="sq-AL"/>
        </w:rPr>
        <w:t>. N</w:t>
      </w:r>
      <w:r w:rsidR="006B0E72" w:rsidRPr="00C03A20">
        <w:rPr>
          <w:rFonts w:ascii="Times New Roman" w:hAnsi="Times New Roman"/>
          <w:spacing w:val="-4"/>
          <w:sz w:val="28"/>
          <w:szCs w:val="28"/>
          <w:lang w:val="sq-AL"/>
        </w:rPr>
        <w:t>ë</w:t>
      </w:r>
      <w:r w:rsidR="00417A0F" w:rsidRPr="00C03A20">
        <w:rPr>
          <w:rFonts w:ascii="Times New Roman" w:hAnsi="Times New Roman"/>
          <w:spacing w:val="-4"/>
          <w:sz w:val="28"/>
          <w:szCs w:val="28"/>
          <w:lang w:val="sq-AL"/>
        </w:rPr>
        <w:t xml:space="preserve"> t</w:t>
      </w:r>
      <w:r w:rsidR="006B0E72" w:rsidRPr="00C03A20">
        <w:rPr>
          <w:rFonts w:ascii="Times New Roman" w:hAnsi="Times New Roman"/>
          <w:spacing w:val="-4"/>
          <w:sz w:val="28"/>
          <w:szCs w:val="28"/>
          <w:lang w:val="sq-AL"/>
        </w:rPr>
        <w:t>ë</w:t>
      </w:r>
      <w:r w:rsidR="00417A0F" w:rsidRPr="00C03A20">
        <w:rPr>
          <w:rFonts w:ascii="Times New Roman" w:hAnsi="Times New Roman"/>
          <w:spacing w:val="-4"/>
          <w:sz w:val="28"/>
          <w:szCs w:val="28"/>
          <w:lang w:val="sq-AL"/>
        </w:rPr>
        <w:t xml:space="preserve"> dyja rastet </w:t>
      </w:r>
      <w:r w:rsidR="000604C4" w:rsidRPr="00C03A20">
        <w:rPr>
          <w:rFonts w:ascii="Times New Roman" w:hAnsi="Times New Roman"/>
          <w:spacing w:val="-4"/>
          <w:sz w:val="28"/>
          <w:szCs w:val="28"/>
          <w:lang w:val="sq-AL"/>
        </w:rPr>
        <w:t>n</w:t>
      </w:r>
      <w:r w:rsidR="006B0E72" w:rsidRPr="00C03A20">
        <w:rPr>
          <w:rFonts w:ascii="Times New Roman" w:hAnsi="Times New Roman"/>
          <w:spacing w:val="-4"/>
          <w:sz w:val="28"/>
          <w:szCs w:val="28"/>
          <w:lang w:val="sq-AL"/>
        </w:rPr>
        <w:t>ë</w:t>
      </w:r>
      <w:r w:rsidR="000604C4" w:rsidRPr="00C03A20">
        <w:rPr>
          <w:rFonts w:ascii="Times New Roman" w:hAnsi="Times New Roman"/>
          <w:spacing w:val="-4"/>
          <w:sz w:val="28"/>
          <w:szCs w:val="28"/>
          <w:lang w:val="sq-AL"/>
        </w:rPr>
        <w:t xml:space="preserve">se </w:t>
      </w:r>
      <w:r w:rsidR="006B0E72" w:rsidRPr="00C03A20">
        <w:rPr>
          <w:rFonts w:ascii="Times New Roman" w:hAnsi="Times New Roman"/>
          <w:spacing w:val="-4"/>
          <w:sz w:val="28"/>
          <w:szCs w:val="28"/>
          <w:lang w:val="sq-AL"/>
        </w:rPr>
        <w:t>dakordësia</w:t>
      </w:r>
      <w:r w:rsidR="000604C4" w:rsidRPr="00C03A20">
        <w:rPr>
          <w:rFonts w:ascii="Times New Roman" w:hAnsi="Times New Roman"/>
          <w:spacing w:val="-4"/>
          <w:sz w:val="28"/>
          <w:szCs w:val="28"/>
          <w:lang w:val="sq-AL"/>
        </w:rPr>
        <w:t xml:space="preserve"> nuk gjendet brenda 30 dit</w:t>
      </w:r>
      <w:r w:rsidR="006B0E72" w:rsidRPr="00C03A20">
        <w:rPr>
          <w:rFonts w:ascii="Times New Roman" w:hAnsi="Times New Roman"/>
          <w:spacing w:val="-4"/>
          <w:sz w:val="28"/>
          <w:szCs w:val="28"/>
          <w:lang w:val="sq-AL"/>
        </w:rPr>
        <w:t>ë</w:t>
      </w:r>
      <w:r w:rsidR="000604C4" w:rsidRPr="00C03A20">
        <w:rPr>
          <w:rFonts w:ascii="Times New Roman" w:hAnsi="Times New Roman"/>
          <w:spacing w:val="-4"/>
          <w:sz w:val="28"/>
          <w:szCs w:val="28"/>
          <w:lang w:val="sq-AL"/>
        </w:rPr>
        <w:t xml:space="preserve">ve, </w:t>
      </w:r>
      <w:r w:rsidR="004D76BC" w:rsidRPr="00C03A20">
        <w:rPr>
          <w:rFonts w:ascii="Times New Roman" w:hAnsi="Times New Roman"/>
          <w:spacing w:val="-4"/>
          <w:sz w:val="28"/>
          <w:szCs w:val="28"/>
          <w:lang w:val="sq-AL"/>
        </w:rPr>
        <w:t>arbitri emërohet nga Gjykata</w:t>
      </w:r>
      <w:r w:rsidR="00193677" w:rsidRPr="00C03A20">
        <w:rPr>
          <w:rFonts w:ascii="Times New Roman" w:hAnsi="Times New Roman"/>
          <w:spacing w:val="-4"/>
          <w:sz w:val="28"/>
          <w:szCs w:val="28"/>
          <w:lang w:val="sq-AL"/>
        </w:rPr>
        <w:t xml:space="preserve"> me kërkesë t</w:t>
      </w:r>
      <w:r w:rsidR="006B0E72" w:rsidRPr="00C03A20">
        <w:rPr>
          <w:rFonts w:ascii="Times New Roman" w:hAnsi="Times New Roman"/>
          <w:spacing w:val="-4"/>
          <w:sz w:val="28"/>
          <w:szCs w:val="28"/>
          <w:lang w:val="sq-AL"/>
        </w:rPr>
        <w:t>ë</w:t>
      </w:r>
      <w:r w:rsidR="00193677" w:rsidRPr="00C03A20">
        <w:rPr>
          <w:rFonts w:ascii="Times New Roman" w:hAnsi="Times New Roman"/>
          <w:spacing w:val="-4"/>
          <w:sz w:val="28"/>
          <w:szCs w:val="28"/>
          <w:lang w:val="sq-AL"/>
        </w:rPr>
        <w:t xml:space="preserve"> </w:t>
      </w:r>
      <w:r w:rsidR="00E52A34" w:rsidRPr="00C03A20">
        <w:rPr>
          <w:rFonts w:ascii="Times New Roman" w:hAnsi="Times New Roman"/>
          <w:spacing w:val="-4"/>
          <w:sz w:val="28"/>
          <w:szCs w:val="28"/>
          <w:lang w:val="sq-AL"/>
        </w:rPr>
        <w:t xml:space="preserve">të dyja </w:t>
      </w:r>
      <w:r w:rsidR="00193677" w:rsidRPr="00C03A20">
        <w:rPr>
          <w:rFonts w:ascii="Times New Roman" w:hAnsi="Times New Roman"/>
          <w:spacing w:val="-4"/>
          <w:sz w:val="28"/>
          <w:szCs w:val="28"/>
          <w:lang w:val="sq-AL"/>
        </w:rPr>
        <w:t xml:space="preserve">palëve </w:t>
      </w:r>
      <w:r w:rsidR="0070419A" w:rsidRPr="00C03A20">
        <w:rPr>
          <w:rFonts w:ascii="Times New Roman" w:hAnsi="Times New Roman"/>
          <w:spacing w:val="-4"/>
          <w:sz w:val="28"/>
          <w:szCs w:val="28"/>
          <w:lang w:val="sq-AL"/>
        </w:rPr>
        <w:t>ose t</w:t>
      </w:r>
      <w:r w:rsidR="006B0E72" w:rsidRPr="00C03A20">
        <w:rPr>
          <w:rFonts w:ascii="Times New Roman" w:hAnsi="Times New Roman"/>
          <w:spacing w:val="-4"/>
          <w:sz w:val="28"/>
          <w:szCs w:val="28"/>
          <w:lang w:val="sq-AL"/>
        </w:rPr>
        <w:t>ë</w:t>
      </w:r>
      <w:r w:rsidR="0070419A" w:rsidRPr="00C03A20">
        <w:rPr>
          <w:rFonts w:ascii="Times New Roman" w:hAnsi="Times New Roman"/>
          <w:spacing w:val="-4"/>
          <w:sz w:val="28"/>
          <w:szCs w:val="28"/>
          <w:lang w:val="sq-AL"/>
        </w:rPr>
        <w:t xml:space="preserve"> nj</w:t>
      </w:r>
      <w:r w:rsidR="006B0E72" w:rsidRPr="00C03A20">
        <w:rPr>
          <w:rFonts w:ascii="Times New Roman" w:hAnsi="Times New Roman"/>
          <w:spacing w:val="-4"/>
          <w:sz w:val="28"/>
          <w:szCs w:val="28"/>
          <w:lang w:val="sq-AL"/>
        </w:rPr>
        <w:t>ë</w:t>
      </w:r>
      <w:r w:rsidR="0070419A" w:rsidRPr="00C03A20">
        <w:rPr>
          <w:rFonts w:ascii="Times New Roman" w:hAnsi="Times New Roman"/>
          <w:spacing w:val="-4"/>
          <w:sz w:val="28"/>
          <w:szCs w:val="28"/>
          <w:lang w:val="sq-AL"/>
        </w:rPr>
        <w:t>r</w:t>
      </w:r>
      <w:r w:rsidR="006B0E72" w:rsidRPr="00C03A20">
        <w:rPr>
          <w:rFonts w:ascii="Times New Roman" w:hAnsi="Times New Roman"/>
          <w:spacing w:val="-4"/>
          <w:sz w:val="28"/>
          <w:szCs w:val="28"/>
          <w:lang w:val="sq-AL"/>
        </w:rPr>
        <w:t>ë</w:t>
      </w:r>
      <w:r w:rsidR="0070419A" w:rsidRPr="00C03A20">
        <w:rPr>
          <w:rFonts w:ascii="Times New Roman" w:hAnsi="Times New Roman"/>
          <w:spacing w:val="-4"/>
          <w:sz w:val="28"/>
          <w:szCs w:val="28"/>
          <w:lang w:val="sq-AL"/>
        </w:rPr>
        <w:t>s pal</w:t>
      </w:r>
      <w:r w:rsidR="006B0E72" w:rsidRPr="00C03A20">
        <w:rPr>
          <w:rFonts w:ascii="Times New Roman" w:hAnsi="Times New Roman"/>
          <w:spacing w:val="-4"/>
          <w:sz w:val="28"/>
          <w:szCs w:val="28"/>
          <w:lang w:val="sq-AL"/>
        </w:rPr>
        <w:t>ë</w:t>
      </w:r>
      <w:r w:rsidR="0070419A" w:rsidRPr="00C03A20">
        <w:rPr>
          <w:rFonts w:ascii="Times New Roman" w:hAnsi="Times New Roman"/>
          <w:spacing w:val="-4"/>
          <w:sz w:val="28"/>
          <w:szCs w:val="28"/>
          <w:lang w:val="sq-AL"/>
        </w:rPr>
        <w:t>.</w:t>
      </w:r>
    </w:p>
    <w:p w:rsidR="00277D79" w:rsidRPr="00C03A20" w:rsidRDefault="00277D79" w:rsidP="00C03A20">
      <w:pPr>
        <w:spacing w:after="0"/>
        <w:jc w:val="both"/>
        <w:rPr>
          <w:rFonts w:ascii="Times New Roman" w:hAnsi="Times New Roman"/>
          <w:spacing w:val="-4"/>
          <w:sz w:val="28"/>
          <w:szCs w:val="28"/>
          <w:lang w:val="sq-AL"/>
        </w:rPr>
      </w:pPr>
    </w:p>
    <w:p w:rsidR="0036187B" w:rsidRPr="00C03A20" w:rsidRDefault="00A25D6D"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N</w:t>
      </w:r>
      <w:r w:rsidR="006B0E72"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rast se arbitri </w:t>
      </w:r>
      <w:r w:rsidR="005F7091" w:rsidRPr="00C03A20">
        <w:rPr>
          <w:rFonts w:ascii="Times New Roman" w:hAnsi="Times New Roman"/>
          <w:spacing w:val="-4"/>
          <w:sz w:val="28"/>
          <w:szCs w:val="28"/>
          <w:lang w:val="sq-AL"/>
        </w:rPr>
        <w:t>b</w:t>
      </w:r>
      <w:r w:rsidR="006B0E72" w:rsidRPr="00C03A20">
        <w:rPr>
          <w:rFonts w:ascii="Times New Roman" w:hAnsi="Times New Roman"/>
          <w:spacing w:val="-4"/>
          <w:sz w:val="28"/>
          <w:szCs w:val="28"/>
          <w:lang w:val="sq-AL"/>
        </w:rPr>
        <w:t>ë</w:t>
      </w:r>
      <w:r w:rsidR="005F7091" w:rsidRPr="00C03A20">
        <w:rPr>
          <w:rFonts w:ascii="Times New Roman" w:hAnsi="Times New Roman"/>
          <w:spacing w:val="-4"/>
          <w:sz w:val="28"/>
          <w:szCs w:val="28"/>
          <w:lang w:val="sq-AL"/>
        </w:rPr>
        <w:t>het i paaft</w:t>
      </w:r>
      <w:r w:rsidR="006B0E72" w:rsidRPr="00C03A20">
        <w:rPr>
          <w:rFonts w:ascii="Times New Roman" w:hAnsi="Times New Roman"/>
          <w:spacing w:val="-4"/>
          <w:sz w:val="28"/>
          <w:szCs w:val="28"/>
          <w:lang w:val="sq-AL"/>
        </w:rPr>
        <w:t>ë</w:t>
      </w:r>
      <w:r w:rsidR="005F7091" w:rsidRPr="00C03A20">
        <w:rPr>
          <w:rFonts w:ascii="Times New Roman" w:hAnsi="Times New Roman"/>
          <w:spacing w:val="-4"/>
          <w:sz w:val="28"/>
          <w:szCs w:val="28"/>
          <w:lang w:val="sq-AL"/>
        </w:rPr>
        <w:t xml:space="preserve"> ose i pamundur p</w:t>
      </w:r>
      <w:r w:rsidR="006B0E72" w:rsidRPr="00C03A20">
        <w:rPr>
          <w:rFonts w:ascii="Times New Roman" w:hAnsi="Times New Roman"/>
          <w:spacing w:val="-4"/>
          <w:sz w:val="28"/>
          <w:szCs w:val="28"/>
          <w:lang w:val="sq-AL"/>
        </w:rPr>
        <w:t>ë</w:t>
      </w:r>
      <w:r w:rsidR="005F7091" w:rsidRPr="00C03A20">
        <w:rPr>
          <w:rFonts w:ascii="Times New Roman" w:hAnsi="Times New Roman"/>
          <w:spacing w:val="-4"/>
          <w:sz w:val="28"/>
          <w:szCs w:val="28"/>
          <w:lang w:val="sq-AL"/>
        </w:rPr>
        <w:t>r t</w:t>
      </w:r>
      <w:r w:rsidR="006B0E72" w:rsidRPr="00C03A20">
        <w:rPr>
          <w:rFonts w:ascii="Times New Roman" w:hAnsi="Times New Roman"/>
          <w:spacing w:val="-4"/>
          <w:sz w:val="28"/>
          <w:szCs w:val="28"/>
          <w:lang w:val="sq-AL"/>
        </w:rPr>
        <w:t>ë</w:t>
      </w:r>
      <w:r w:rsidR="005F7091" w:rsidRPr="00C03A20">
        <w:rPr>
          <w:rFonts w:ascii="Times New Roman" w:hAnsi="Times New Roman"/>
          <w:spacing w:val="-4"/>
          <w:sz w:val="28"/>
          <w:szCs w:val="28"/>
          <w:lang w:val="sq-AL"/>
        </w:rPr>
        <w:t xml:space="preserve"> p</w:t>
      </w:r>
      <w:r w:rsidR="006B0E72" w:rsidRPr="00C03A20">
        <w:rPr>
          <w:rFonts w:ascii="Times New Roman" w:hAnsi="Times New Roman"/>
          <w:spacing w:val="-4"/>
          <w:sz w:val="28"/>
          <w:szCs w:val="28"/>
          <w:lang w:val="sq-AL"/>
        </w:rPr>
        <w:t>ë</w:t>
      </w:r>
      <w:r w:rsidR="005F7091" w:rsidRPr="00C03A20">
        <w:rPr>
          <w:rFonts w:ascii="Times New Roman" w:hAnsi="Times New Roman"/>
          <w:spacing w:val="-4"/>
          <w:sz w:val="28"/>
          <w:szCs w:val="28"/>
          <w:lang w:val="sq-AL"/>
        </w:rPr>
        <w:t xml:space="preserve">rmbushur funksionet e tij, </w:t>
      </w:r>
      <w:r w:rsidR="00F66243" w:rsidRPr="00C03A20">
        <w:rPr>
          <w:rFonts w:ascii="Times New Roman" w:hAnsi="Times New Roman"/>
          <w:spacing w:val="-4"/>
          <w:sz w:val="28"/>
          <w:szCs w:val="28"/>
          <w:lang w:val="sq-AL"/>
        </w:rPr>
        <w:t>ose n</w:t>
      </w:r>
      <w:r w:rsidR="009C60B0" w:rsidRPr="00C03A20">
        <w:rPr>
          <w:rFonts w:ascii="Times New Roman" w:hAnsi="Times New Roman"/>
          <w:spacing w:val="-4"/>
          <w:sz w:val="28"/>
          <w:szCs w:val="28"/>
          <w:lang w:val="sq-AL"/>
        </w:rPr>
        <w:t>ë</w:t>
      </w:r>
      <w:r w:rsidR="00F66243" w:rsidRPr="00C03A20">
        <w:rPr>
          <w:rFonts w:ascii="Times New Roman" w:hAnsi="Times New Roman"/>
          <w:spacing w:val="-4"/>
          <w:sz w:val="28"/>
          <w:szCs w:val="28"/>
          <w:lang w:val="sq-AL"/>
        </w:rPr>
        <w:t>se lindin</w:t>
      </w:r>
      <w:r w:rsidR="0036187B" w:rsidRPr="00C03A20">
        <w:rPr>
          <w:rFonts w:ascii="Times New Roman" w:hAnsi="Times New Roman"/>
          <w:spacing w:val="-4"/>
          <w:sz w:val="28"/>
          <w:szCs w:val="28"/>
          <w:lang w:val="sq-AL"/>
        </w:rPr>
        <w:t xml:space="preserve"> dyshime të arsyeshme lidhur me paanësinë ose pavarësinë e arbitrit,</w:t>
      </w:r>
      <w:r w:rsidR="00A70F7D" w:rsidRPr="00C03A20">
        <w:rPr>
          <w:rFonts w:ascii="Times New Roman" w:hAnsi="Times New Roman"/>
          <w:spacing w:val="-4"/>
          <w:sz w:val="28"/>
          <w:szCs w:val="28"/>
          <w:lang w:val="sq-AL"/>
        </w:rPr>
        <w:t xml:space="preserve"> nenet 15</w:t>
      </w:r>
      <w:r w:rsidR="008612B8" w:rsidRPr="00C03A20">
        <w:rPr>
          <w:rFonts w:ascii="Times New Roman" w:hAnsi="Times New Roman"/>
          <w:spacing w:val="-4"/>
          <w:sz w:val="28"/>
          <w:szCs w:val="28"/>
          <w:lang w:val="sq-AL"/>
        </w:rPr>
        <w:t xml:space="preserve"> dhe 1</w:t>
      </w:r>
      <w:r w:rsidR="00A70F7D" w:rsidRPr="00C03A20">
        <w:rPr>
          <w:rFonts w:ascii="Times New Roman" w:hAnsi="Times New Roman"/>
          <w:spacing w:val="-4"/>
          <w:sz w:val="28"/>
          <w:szCs w:val="28"/>
          <w:lang w:val="sq-AL"/>
        </w:rPr>
        <w:t>6,</w:t>
      </w:r>
      <w:r w:rsidR="008612B8" w:rsidRPr="00C03A20">
        <w:rPr>
          <w:rFonts w:ascii="Times New Roman" w:hAnsi="Times New Roman"/>
          <w:spacing w:val="-4"/>
          <w:sz w:val="28"/>
          <w:szCs w:val="28"/>
          <w:lang w:val="sq-AL"/>
        </w:rPr>
        <w:t xml:space="preserve"> t</w:t>
      </w:r>
      <w:r w:rsidR="009C60B0" w:rsidRPr="00C03A20">
        <w:rPr>
          <w:rFonts w:ascii="Times New Roman" w:hAnsi="Times New Roman"/>
          <w:spacing w:val="-4"/>
          <w:sz w:val="28"/>
          <w:szCs w:val="28"/>
          <w:lang w:val="sq-AL"/>
        </w:rPr>
        <w:t>ë</w:t>
      </w:r>
      <w:r w:rsidR="008612B8" w:rsidRPr="00C03A20">
        <w:rPr>
          <w:rFonts w:ascii="Times New Roman" w:hAnsi="Times New Roman"/>
          <w:spacing w:val="-4"/>
          <w:sz w:val="28"/>
          <w:szCs w:val="28"/>
          <w:lang w:val="sq-AL"/>
        </w:rPr>
        <w:t xml:space="preserve"> projektligjit parashikojn</w:t>
      </w:r>
      <w:r w:rsidR="009C60B0" w:rsidRPr="00C03A20">
        <w:rPr>
          <w:rFonts w:ascii="Times New Roman" w:hAnsi="Times New Roman"/>
          <w:spacing w:val="-4"/>
          <w:sz w:val="28"/>
          <w:szCs w:val="28"/>
          <w:lang w:val="sq-AL"/>
        </w:rPr>
        <w:t>ë</w:t>
      </w:r>
      <w:r w:rsidR="008612B8" w:rsidRPr="00C03A20">
        <w:rPr>
          <w:rFonts w:ascii="Times New Roman" w:hAnsi="Times New Roman"/>
          <w:spacing w:val="-4"/>
          <w:sz w:val="28"/>
          <w:szCs w:val="28"/>
          <w:lang w:val="sq-AL"/>
        </w:rPr>
        <w:t xml:space="preserve"> se pal</w:t>
      </w:r>
      <w:r w:rsidR="009C60B0" w:rsidRPr="00C03A20">
        <w:rPr>
          <w:rFonts w:ascii="Times New Roman" w:hAnsi="Times New Roman"/>
          <w:spacing w:val="-4"/>
          <w:sz w:val="28"/>
          <w:szCs w:val="28"/>
          <w:lang w:val="sq-AL"/>
        </w:rPr>
        <w:t>ë</w:t>
      </w:r>
      <w:r w:rsidR="008612B8" w:rsidRPr="00C03A20">
        <w:rPr>
          <w:rFonts w:ascii="Times New Roman" w:hAnsi="Times New Roman"/>
          <w:spacing w:val="-4"/>
          <w:sz w:val="28"/>
          <w:szCs w:val="28"/>
          <w:lang w:val="sq-AL"/>
        </w:rPr>
        <w:t>t ose vet</w:t>
      </w:r>
      <w:r w:rsidR="009C60B0" w:rsidRPr="00C03A20">
        <w:rPr>
          <w:rFonts w:ascii="Times New Roman" w:hAnsi="Times New Roman"/>
          <w:spacing w:val="-4"/>
          <w:sz w:val="28"/>
          <w:szCs w:val="28"/>
          <w:lang w:val="sq-AL"/>
        </w:rPr>
        <w:t>ë</w:t>
      </w:r>
      <w:r w:rsidR="008612B8" w:rsidRPr="00C03A20">
        <w:rPr>
          <w:rFonts w:ascii="Times New Roman" w:hAnsi="Times New Roman"/>
          <w:spacing w:val="-4"/>
          <w:sz w:val="28"/>
          <w:szCs w:val="28"/>
          <w:lang w:val="sq-AL"/>
        </w:rPr>
        <w:t xml:space="preserve"> arbitri kan</w:t>
      </w:r>
      <w:r w:rsidR="009C60B0" w:rsidRPr="00C03A20">
        <w:rPr>
          <w:rFonts w:ascii="Times New Roman" w:hAnsi="Times New Roman"/>
          <w:spacing w:val="-4"/>
          <w:sz w:val="28"/>
          <w:szCs w:val="28"/>
          <w:lang w:val="sq-AL"/>
        </w:rPr>
        <w:t>ë</w:t>
      </w:r>
      <w:r w:rsidR="00F127F4" w:rsidRPr="00C03A20">
        <w:rPr>
          <w:rFonts w:ascii="Times New Roman" w:hAnsi="Times New Roman"/>
          <w:spacing w:val="-4"/>
          <w:sz w:val="28"/>
          <w:szCs w:val="28"/>
          <w:lang w:val="sq-AL"/>
        </w:rPr>
        <w:t xml:space="preserve"> drejt</w:t>
      </w:r>
      <w:r w:rsidR="009C60B0" w:rsidRPr="00C03A20">
        <w:rPr>
          <w:rFonts w:ascii="Times New Roman" w:hAnsi="Times New Roman"/>
          <w:spacing w:val="-4"/>
          <w:sz w:val="28"/>
          <w:szCs w:val="28"/>
          <w:lang w:val="sq-AL"/>
        </w:rPr>
        <w:t>ë</w:t>
      </w:r>
      <w:r w:rsidR="00F127F4" w:rsidRPr="00C03A20">
        <w:rPr>
          <w:rFonts w:ascii="Times New Roman" w:hAnsi="Times New Roman"/>
          <w:spacing w:val="-4"/>
          <w:sz w:val="28"/>
          <w:szCs w:val="28"/>
          <w:lang w:val="sq-AL"/>
        </w:rPr>
        <w:t xml:space="preserve"> t</w:t>
      </w:r>
      <w:r w:rsidR="009C60B0" w:rsidRPr="00C03A20">
        <w:rPr>
          <w:rFonts w:ascii="Times New Roman" w:hAnsi="Times New Roman"/>
          <w:spacing w:val="-4"/>
          <w:sz w:val="28"/>
          <w:szCs w:val="28"/>
          <w:lang w:val="sq-AL"/>
        </w:rPr>
        <w:t>ë</w:t>
      </w:r>
      <w:r w:rsidR="00F127F4" w:rsidRPr="00C03A20">
        <w:rPr>
          <w:rFonts w:ascii="Times New Roman" w:hAnsi="Times New Roman"/>
          <w:spacing w:val="-4"/>
          <w:sz w:val="28"/>
          <w:szCs w:val="28"/>
          <w:lang w:val="sq-AL"/>
        </w:rPr>
        <w:t xml:space="preserve"> k</w:t>
      </w:r>
      <w:r w:rsidR="009C60B0" w:rsidRPr="00C03A20">
        <w:rPr>
          <w:rFonts w:ascii="Times New Roman" w:hAnsi="Times New Roman"/>
          <w:spacing w:val="-4"/>
          <w:sz w:val="28"/>
          <w:szCs w:val="28"/>
          <w:lang w:val="sq-AL"/>
        </w:rPr>
        <w:t>ë</w:t>
      </w:r>
      <w:r w:rsidR="00F127F4" w:rsidRPr="00C03A20">
        <w:rPr>
          <w:rFonts w:ascii="Times New Roman" w:hAnsi="Times New Roman"/>
          <w:spacing w:val="-4"/>
          <w:sz w:val="28"/>
          <w:szCs w:val="28"/>
          <w:lang w:val="sq-AL"/>
        </w:rPr>
        <w:t>rkojn</w:t>
      </w:r>
      <w:r w:rsidR="009C60B0" w:rsidRPr="00C03A20">
        <w:rPr>
          <w:rFonts w:ascii="Times New Roman" w:hAnsi="Times New Roman"/>
          <w:spacing w:val="-4"/>
          <w:sz w:val="28"/>
          <w:szCs w:val="28"/>
          <w:lang w:val="sq-AL"/>
        </w:rPr>
        <w:t>ë</w:t>
      </w:r>
      <w:r w:rsidR="00F127F4" w:rsidRPr="00C03A20">
        <w:rPr>
          <w:rFonts w:ascii="Times New Roman" w:hAnsi="Times New Roman"/>
          <w:spacing w:val="-4"/>
          <w:sz w:val="28"/>
          <w:szCs w:val="28"/>
          <w:lang w:val="sq-AL"/>
        </w:rPr>
        <w:t xml:space="preserve"> </w:t>
      </w:r>
      <w:r w:rsidR="006A5AB0" w:rsidRPr="00C03A20">
        <w:rPr>
          <w:rFonts w:ascii="Times New Roman" w:hAnsi="Times New Roman"/>
          <w:spacing w:val="-4"/>
          <w:sz w:val="28"/>
          <w:szCs w:val="28"/>
          <w:lang w:val="sq-AL"/>
        </w:rPr>
        <w:t>p</w:t>
      </w:r>
      <w:r w:rsidR="009C60B0" w:rsidRPr="00C03A20">
        <w:rPr>
          <w:rFonts w:ascii="Times New Roman" w:hAnsi="Times New Roman"/>
          <w:spacing w:val="-4"/>
          <w:sz w:val="28"/>
          <w:szCs w:val="28"/>
          <w:lang w:val="sq-AL"/>
        </w:rPr>
        <w:t>ë</w:t>
      </w:r>
      <w:r w:rsidR="006A5AB0" w:rsidRPr="00C03A20">
        <w:rPr>
          <w:rFonts w:ascii="Times New Roman" w:hAnsi="Times New Roman"/>
          <w:spacing w:val="-4"/>
          <w:sz w:val="28"/>
          <w:szCs w:val="28"/>
          <w:lang w:val="sq-AL"/>
        </w:rPr>
        <w:t>rfundimin e detyr</w:t>
      </w:r>
      <w:r w:rsidR="009C60B0" w:rsidRPr="00C03A20">
        <w:rPr>
          <w:rFonts w:ascii="Times New Roman" w:hAnsi="Times New Roman"/>
          <w:spacing w:val="-4"/>
          <w:sz w:val="28"/>
          <w:szCs w:val="28"/>
          <w:lang w:val="sq-AL"/>
        </w:rPr>
        <w:t>ë</w:t>
      </w:r>
      <w:r w:rsidR="006A5AB0" w:rsidRPr="00C03A20">
        <w:rPr>
          <w:rFonts w:ascii="Times New Roman" w:hAnsi="Times New Roman"/>
          <w:spacing w:val="-4"/>
          <w:sz w:val="28"/>
          <w:szCs w:val="28"/>
          <w:lang w:val="sq-AL"/>
        </w:rPr>
        <w:t>s s</w:t>
      </w:r>
      <w:r w:rsidR="009C60B0" w:rsidRPr="00C03A20">
        <w:rPr>
          <w:rFonts w:ascii="Times New Roman" w:hAnsi="Times New Roman"/>
          <w:spacing w:val="-4"/>
          <w:sz w:val="28"/>
          <w:szCs w:val="28"/>
          <w:lang w:val="sq-AL"/>
        </w:rPr>
        <w:t>ë</w:t>
      </w:r>
      <w:r w:rsidR="006A5AB0" w:rsidRPr="00C03A20">
        <w:rPr>
          <w:rFonts w:ascii="Times New Roman" w:hAnsi="Times New Roman"/>
          <w:spacing w:val="-4"/>
          <w:sz w:val="28"/>
          <w:szCs w:val="28"/>
          <w:lang w:val="sq-AL"/>
        </w:rPr>
        <w:t xml:space="preserve"> </w:t>
      </w:r>
      <w:r w:rsidR="00F127F4" w:rsidRPr="00C03A20">
        <w:rPr>
          <w:rFonts w:ascii="Times New Roman" w:hAnsi="Times New Roman"/>
          <w:spacing w:val="-4"/>
          <w:sz w:val="28"/>
          <w:szCs w:val="28"/>
          <w:lang w:val="sq-AL"/>
        </w:rPr>
        <w:t>arbitri</w:t>
      </w:r>
      <w:r w:rsidR="006A5AB0" w:rsidRPr="00C03A20">
        <w:rPr>
          <w:rFonts w:ascii="Times New Roman" w:hAnsi="Times New Roman"/>
          <w:spacing w:val="-4"/>
          <w:sz w:val="28"/>
          <w:szCs w:val="28"/>
          <w:lang w:val="sq-AL"/>
        </w:rPr>
        <w:t>t</w:t>
      </w:r>
      <w:r w:rsidR="007C53EF" w:rsidRPr="00C03A20">
        <w:rPr>
          <w:rFonts w:ascii="Times New Roman" w:hAnsi="Times New Roman"/>
          <w:spacing w:val="-4"/>
          <w:sz w:val="28"/>
          <w:szCs w:val="28"/>
          <w:lang w:val="sq-AL"/>
        </w:rPr>
        <w:t>.</w:t>
      </w:r>
      <w:r w:rsidR="009D709A" w:rsidRPr="00C03A20">
        <w:rPr>
          <w:rFonts w:ascii="Times New Roman" w:hAnsi="Times New Roman"/>
          <w:spacing w:val="-4"/>
          <w:sz w:val="28"/>
          <w:szCs w:val="28"/>
          <w:lang w:val="sq-AL"/>
        </w:rPr>
        <w:t xml:space="preserve"> N</w:t>
      </w:r>
      <w:r w:rsidR="009C60B0" w:rsidRPr="00C03A20">
        <w:rPr>
          <w:rFonts w:ascii="Times New Roman" w:hAnsi="Times New Roman"/>
          <w:spacing w:val="-4"/>
          <w:sz w:val="28"/>
          <w:szCs w:val="28"/>
          <w:lang w:val="sq-AL"/>
        </w:rPr>
        <w:t>ë</w:t>
      </w:r>
      <w:r w:rsidR="009D709A" w:rsidRPr="00C03A20">
        <w:rPr>
          <w:rFonts w:ascii="Times New Roman" w:hAnsi="Times New Roman"/>
          <w:spacing w:val="-4"/>
          <w:sz w:val="28"/>
          <w:szCs w:val="28"/>
          <w:lang w:val="sq-AL"/>
        </w:rPr>
        <w:t xml:space="preserve"> rast </w:t>
      </w:r>
      <w:r w:rsidR="00345250" w:rsidRPr="00C03A20">
        <w:rPr>
          <w:rFonts w:ascii="Times New Roman" w:hAnsi="Times New Roman"/>
          <w:spacing w:val="-4"/>
          <w:sz w:val="28"/>
          <w:szCs w:val="28"/>
          <w:lang w:val="sq-AL"/>
        </w:rPr>
        <w:t>t</w:t>
      </w:r>
      <w:r w:rsidR="009C60B0" w:rsidRPr="00C03A20">
        <w:rPr>
          <w:rFonts w:ascii="Times New Roman" w:hAnsi="Times New Roman"/>
          <w:spacing w:val="-4"/>
          <w:sz w:val="28"/>
          <w:szCs w:val="28"/>
          <w:lang w:val="sq-AL"/>
        </w:rPr>
        <w:t>ë</w:t>
      </w:r>
      <w:r w:rsidR="00345250" w:rsidRPr="00C03A20">
        <w:rPr>
          <w:rFonts w:ascii="Times New Roman" w:hAnsi="Times New Roman"/>
          <w:spacing w:val="-4"/>
          <w:sz w:val="28"/>
          <w:szCs w:val="28"/>
          <w:lang w:val="sq-AL"/>
        </w:rPr>
        <w:t xml:space="preserve"> </w:t>
      </w:r>
      <w:r w:rsidR="009D709A" w:rsidRPr="00C03A20">
        <w:rPr>
          <w:rFonts w:ascii="Times New Roman" w:hAnsi="Times New Roman"/>
          <w:spacing w:val="-4"/>
          <w:sz w:val="28"/>
          <w:szCs w:val="28"/>
          <w:lang w:val="sq-AL"/>
        </w:rPr>
        <w:t>përfund</w:t>
      </w:r>
      <w:r w:rsidR="00345250" w:rsidRPr="00C03A20">
        <w:rPr>
          <w:rFonts w:ascii="Times New Roman" w:hAnsi="Times New Roman"/>
          <w:spacing w:val="-4"/>
          <w:sz w:val="28"/>
          <w:szCs w:val="28"/>
          <w:lang w:val="sq-AL"/>
        </w:rPr>
        <w:t>imit t</w:t>
      </w:r>
      <w:r w:rsidR="009C60B0" w:rsidRPr="00C03A20">
        <w:rPr>
          <w:rFonts w:ascii="Times New Roman" w:hAnsi="Times New Roman"/>
          <w:spacing w:val="-4"/>
          <w:sz w:val="28"/>
          <w:szCs w:val="28"/>
          <w:lang w:val="sq-AL"/>
        </w:rPr>
        <w:t>ë</w:t>
      </w:r>
      <w:r w:rsidR="00345250" w:rsidRPr="00C03A20">
        <w:rPr>
          <w:rFonts w:ascii="Times New Roman" w:hAnsi="Times New Roman"/>
          <w:spacing w:val="-4"/>
          <w:sz w:val="28"/>
          <w:szCs w:val="28"/>
          <w:lang w:val="sq-AL"/>
        </w:rPr>
        <w:t xml:space="preserve"> detyr</w:t>
      </w:r>
      <w:r w:rsidR="009C60B0" w:rsidRPr="00C03A20">
        <w:rPr>
          <w:rFonts w:ascii="Times New Roman" w:hAnsi="Times New Roman"/>
          <w:spacing w:val="-4"/>
          <w:sz w:val="28"/>
          <w:szCs w:val="28"/>
          <w:lang w:val="sq-AL"/>
        </w:rPr>
        <w:t>ë</w:t>
      </w:r>
      <w:r w:rsidR="00345250" w:rsidRPr="00C03A20">
        <w:rPr>
          <w:rFonts w:ascii="Times New Roman" w:hAnsi="Times New Roman"/>
          <w:spacing w:val="-4"/>
          <w:sz w:val="28"/>
          <w:szCs w:val="28"/>
          <w:lang w:val="sq-AL"/>
        </w:rPr>
        <w:t>s s</w:t>
      </w:r>
      <w:r w:rsidR="009C60B0" w:rsidRPr="00C03A20">
        <w:rPr>
          <w:rFonts w:ascii="Times New Roman" w:hAnsi="Times New Roman"/>
          <w:spacing w:val="-4"/>
          <w:sz w:val="28"/>
          <w:szCs w:val="28"/>
          <w:lang w:val="sq-AL"/>
        </w:rPr>
        <w:t>ë</w:t>
      </w:r>
      <w:r w:rsidR="00345250" w:rsidRPr="00C03A20">
        <w:rPr>
          <w:rFonts w:ascii="Times New Roman" w:hAnsi="Times New Roman"/>
          <w:spacing w:val="-4"/>
          <w:sz w:val="28"/>
          <w:szCs w:val="28"/>
          <w:lang w:val="sq-AL"/>
        </w:rPr>
        <w:t xml:space="preserve"> arbitrit</w:t>
      </w:r>
      <w:r w:rsidR="009D709A" w:rsidRPr="00C03A20">
        <w:rPr>
          <w:rFonts w:ascii="Times New Roman" w:hAnsi="Times New Roman"/>
          <w:spacing w:val="-4"/>
          <w:sz w:val="28"/>
          <w:szCs w:val="28"/>
          <w:lang w:val="sq-AL"/>
        </w:rPr>
        <w:t>, arbitri zëvendësues emërohet në përputhje me rregullat e zbatueshme për emërimin e arbitrit që zëvendësohet</w:t>
      </w:r>
      <w:r w:rsidR="009C60B0" w:rsidRPr="00C03A20">
        <w:rPr>
          <w:rFonts w:ascii="Times New Roman" w:hAnsi="Times New Roman"/>
          <w:spacing w:val="-4"/>
          <w:sz w:val="28"/>
          <w:szCs w:val="28"/>
          <w:lang w:val="sq-AL"/>
        </w:rPr>
        <w:t xml:space="preserve"> sipas parashikimeve të nenit 1</w:t>
      </w:r>
      <w:r w:rsidR="00A70F7D" w:rsidRPr="00C03A20">
        <w:rPr>
          <w:rFonts w:ascii="Times New Roman" w:hAnsi="Times New Roman"/>
          <w:spacing w:val="-4"/>
          <w:sz w:val="28"/>
          <w:szCs w:val="28"/>
          <w:lang w:val="sq-AL"/>
        </w:rPr>
        <w:t>7,</w:t>
      </w:r>
      <w:r w:rsidR="009C60B0" w:rsidRPr="00C03A20">
        <w:rPr>
          <w:rFonts w:ascii="Times New Roman" w:hAnsi="Times New Roman"/>
          <w:spacing w:val="-4"/>
          <w:sz w:val="28"/>
          <w:szCs w:val="28"/>
          <w:lang w:val="sq-AL"/>
        </w:rPr>
        <w:t xml:space="preserve"> të projektligjit</w:t>
      </w:r>
      <w:r w:rsidR="009D709A" w:rsidRPr="00C03A20">
        <w:rPr>
          <w:rFonts w:ascii="Times New Roman" w:hAnsi="Times New Roman"/>
          <w:spacing w:val="-4"/>
          <w:sz w:val="28"/>
          <w:szCs w:val="28"/>
          <w:lang w:val="sq-AL"/>
        </w:rPr>
        <w:t>.</w:t>
      </w:r>
    </w:p>
    <w:p w:rsidR="003C53B0" w:rsidRPr="00C03A20" w:rsidRDefault="003C53B0" w:rsidP="00C03A20">
      <w:pPr>
        <w:spacing w:after="0"/>
        <w:jc w:val="both"/>
        <w:rPr>
          <w:rFonts w:ascii="Times New Roman" w:hAnsi="Times New Roman"/>
          <w:spacing w:val="-4"/>
          <w:sz w:val="28"/>
          <w:szCs w:val="28"/>
          <w:lang w:val="sq-AL"/>
        </w:rPr>
      </w:pPr>
    </w:p>
    <w:p w:rsidR="00442264" w:rsidRPr="00C03A20" w:rsidRDefault="002D04C5" w:rsidP="00C03A20">
      <w:pPr>
        <w:spacing w:after="0"/>
        <w:jc w:val="both"/>
        <w:rPr>
          <w:rFonts w:ascii="Times New Roman" w:hAnsi="Times New Roman"/>
          <w:spacing w:val="-4"/>
          <w:sz w:val="28"/>
          <w:szCs w:val="28"/>
          <w:lang w:val="sq-AL"/>
        </w:rPr>
      </w:pPr>
      <w:r w:rsidRPr="00C03A20">
        <w:rPr>
          <w:rFonts w:ascii="Times New Roman" w:hAnsi="Times New Roman"/>
          <w:b/>
          <w:bCs/>
          <w:spacing w:val="-4"/>
          <w:sz w:val="28"/>
          <w:szCs w:val="28"/>
          <w:lang w:val="sq-AL"/>
        </w:rPr>
        <w:t xml:space="preserve">KREU IV </w:t>
      </w:r>
      <w:r w:rsidRPr="00C03A20">
        <w:rPr>
          <w:rFonts w:ascii="Times New Roman" w:hAnsi="Times New Roman"/>
          <w:spacing w:val="-4"/>
          <w:sz w:val="28"/>
          <w:szCs w:val="28"/>
          <w:lang w:val="sq-AL"/>
        </w:rPr>
        <w:t>“</w:t>
      </w:r>
      <w:r w:rsidR="00BA0A4B" w:rsidRPr="00C03A20">
        <w:rPr>
          <w:rFonts w:ascii="Times New Roman" w:hAnsi="Times New Roman"/>
          <w:i/>
          <w:iCs/>
          <w:spacing w:val="-4"/>
          <w:sz w:val="28"/>
          <w:szCs w:val="28"/>
          <w:lang w:val="sq-AL"/>
        </w:rPr>
        <w:t>Juridiksioni</w:t>
      </w:r>
      <w:r w:rsidR="00111DDC" w:rsidRPr="00C03A20">
        <w:rPr>
          <w:rFonts w:ascii="Times New Roman" w:hAnsi="Times New Roman"/>
          <w:i/>
          <w:iCs/>
          <w:spacing w:val="-4"/>
          <w:sz w:val="28"/>
          <w:szCs w:val="28"/>
          <w:lang w:val="sq-AL"/>
        </w:rPr>
        <w:t xml:space="preserve"> i gjykatës së arb</w:t>
      </w:r>
      <w:r w:rsidR="00E5746A" w:rsidRPr="00C03A20">
        <w:rPr>
          <w:rFonts w:ascii="Times New Roman" w:hAnsi="Times New Roman"/>
          <w:i/>
          <w:iCs/>
          <w:spacing w:val="-4"/>
          <w:sz w:val="28"/>
          <w:szCs w:val="28"/>
          <w:lang w:val="sq-AL"/>
        </w:rPr>
        <w:t>itrazhit</w:t>
      </w:r>
      <w:r w:rsidRPr="00C03A20">
        <w:rPr>
          <w:rFonts w:ascii="Times New Roman" w:hAnsi="Times New Roman"/>
          <w:spacing w:val="-4"/>
          <w:sz w:val="28"/>
          <w:szCs w:val="28"/>
          <w:lang w:val="sq-AL"/>
        </w:rPr>
        <w:t>”</w:t>
      </w:r>
      <w:r w:rsidR="00C84272" w:rsidRPr="00C03A20">
        <w:rPr>
          <w:rFonts w:ascii="Times New Roman" w:hAnsi="Times New Roman"/>
          <w:spacing w:val="-4"/>
          <w:sz w:val="28"/>
          <w:szCs w:val="28"/>
          <w:lang w:val="sq-AL"/>
        </w:rPr>
        <w:t xml:space="preserve"> </w:t>
      </w:r>
      <w:r w:rsidR="00AE6F30" w:rsidRPr="00C03A20">
        <w:rPr>
          <w:rFonts w:ascii="Times New Roman" w:hAnsi="Times New Roman"/>
          <w:spacing w:val="-4"/>
          <w:sz w:val="28"/>
          <w:szCs w:val="28"/>
          <w:lang w:val="sq-AL"/>
        </w:rPr>
        <w:t>p</w:t>
      </w:r>
      <w:r w:rsidR="00AB281A" w:rsidRPr="00C03A20">
        <w:rPr>
          <w:rFonts w:ascii="Times New Roman" w:hAnsi="Times New Roman"/>
          <w:spacing w:val="-4"/>
          <w:sz w:val="28"/>
          <w:szCs w:val="28"/>
          <w:lang w:val="sq-AL"/>
        </w:rPr>
        <w:t>ë</w:t>
      </w:r>
      <w:r w:rsidR="00AE6F30" w:rsidRPr="00C03A20">
        <w:rPr>
          <w:rFonts w:ascii="Times New Roman" w:hAnsi="Times New Roman"/>
          <w:spacing w:val="-4"/>
          <w:sz w:val="28"/>
          <w:szCs w:val="28"/>
          <w:lang w:val="sq-AL"/>
        </w:rPr>
        <w:t>rcakton kompetencat e gjykat</w:t>
      </w:r>
      <w:r w:rsidR="00AB281A" w:rsidRPr="00C03A20">
        <w:rPr>
          <w:rFonts w:ascii="Times New Roman" w:hAnsi="Times New Roman"/>
          <w:spacing w:val="-4"/>
          <w:sz w:val="28"/>
          <w:szCs w:val="28"/>
          <w:lang w:val="sq-AL"/>
        </w:rPr>
        <w:t>ë</w:t>
      </w:r>
      <w:r w:rsidR="00AE6F30" w:rsidRPr="00C03A20">
        <w:rPr>
          <w:rFonts w:ascii="Times New Roman" w:hAnsi="Times New Roman"/>
          <w:spacing w:val="-4"/>
          <w:sz w:val="28"/>
          <w:szCs w:val="28"/>
          <w:lang w:val="sq-AL"/>
        </w:rPr>
        <w:t>s s</w:t>
      </w:r>
      <w:r w:rsidR="00AB281A" w:rsidRPr="00C03A20">
        <w:rPr>
          <w:rFonts w:ascii="Times New Roman" w:hAnsi="Times New Roman"/>
          <w:spacing w:val="-4"/>
          <w:sz w:val="28"/>
          <w:szCs w:val="28"/>
          <w:lang w:val="sq-AL"/>
        </w:rPr>
        <w:t>ë</w:t>
      </w:r>
      <w:r w:rsidR="00AE6F30" w:rsidRPr="00C03A20">
        <w:rPr>
          <w:rFonts w:ascii="Times New Roman" w:hAnsi="Times New Roman"/>
          <w:spacing w:val="-4"/>
          <w:sz w:val="28"/>
          <w:szCs w:val="28"/>
          <w:lang w:val="sq-AL"/>
        </w:rPr>
        <w:t xml:space="preserve"> arbitrazhit p</w:t>
      </w:r>
      <w:r w:rsidR="00AB281A" w:rsidRPr="00C03A20">
        <w:rPr>
          <w:rFonts w:ascii="Times New Roman" w:hAnsi="Times New Roman"/>
          <w:spacing w:val="-4"/>
          <w:sz w:val="28"/>
          <w:szCs w:val="28"/>
          <w:lang w:val="sq-AL"/>
        </w:rPr>
        <w:t>ë</w:t>
      </w:r>
      <w:r w:rsidR="00AE6F30" w:rsidRPr="00C03A20">
        <w:rPr>
          <w:rFonts w:ascii="Times New Roman" w:hAnsi="Times New Roman"/>
          <w:spacing w:val="-4"/>
          <w:sz w:val="28"/>
          <w:szCs w:val="28"/>
          <w:lang w:val="sq-AL"/>
        </w:rPr>
        <w:t>r t</w:t>
      </w:r>
      <w:r w:rsidR="00AB281A" w:rsidRPr="00C03A20">
        <w:rPr>
          <w:rFonts w:ascii="Times New Roman" w:hAnsi="Times New Roman"/>
          <w:spacing w:val="-4"/>
          <w:sz w:val="28"/>
          <w:szCs w:val="28"/>
          <w:lang w:val="sq-AL"/>
        </w:rPr>
        <w:t>ë</w:t>
      </w:r>
      <w:r w:rsidR="00AE6F30" w:rsidRPr="00C03A20">
        <w:rPr>
          <w:rFonts w:ascii="Times New Roman" w:hAnsi="Times New Roman"/>
          <w:spacing w:val="-4"/>
          <w:sz w:val="28"/>
          <w:szCs w:val="28"/>
          <w:lang w:val="sq-AL"/>
        </w:rPr>
        <w:t xml:space="preserve"> vendosur mbi juridiksionin e saj</w:t>
      </w:r>
      <w:r w:rsidR="00814A58" w:rsidRPr="00C03A20">
        <w:rPr>
          <w:rFonts w:ascii="Times New Roman" w:hAnsi="Times New Roman"/>
          <w:spacing w:val="-4"/>
          <w:sz w:val="28"/>
          <w:szCs w:val="28"/>
          <w:lang w:val="sq-AL"/>
        </w:rPr>
        <w:t xml:space="preserve">, </w:t>
      </w:r>
      <w:r w:rsidR="00A90F86" w:rsidRPr="00C03A20">
        <w:rPr>
          <w:rFonts w:ascii="Times New Roman" w:hAnsi="Times New Roman"/>
          <w:spacing w:val="-4"/>
          <w:sz w:val="28"/>
          <w:szCs w:val="28"/>
          <w:lang w:val="sq-AL"/>
        </w:rPr>
        <w:t>p</w:t>
      </w:r>
      <w:r w:rsidR="00AB281A" w:rsidRPr="00C03A20">
        <w:rPr>
          <w:rFonts w:ascii="Times New Roman" w:hAnsi="Times New Roman"/>
          <w:spacing w:val="-4"/>
          <w:sz w:val="28"/>
          <w:szCs w:val="28"/>
          <w:lang w:val="sq-AL"/>
        </w:rPr>
        <w:t>ë</w:t>
      </w:r>
      <w:r w:rsidR="00A90F86" w:rsidRPr="00C03A20">
        <w:rPr>
          <w:rFonts w:ascii="Times New Roman" w:hAnsi="Times New Roman"/>
          <w:spacing w:val="-4"/>
          <w:sz w:val="28"/>
          <w:szCs w:val="28"/>
          <w:lang w:val="sq-AL"/>
        </w:rPr>
        <w:t>r t</w:t>
      </w:r>
      <w:r w:rsidR="00AB281A" w:rsidRPr="00C03A20">
        <w:rPr>
          <w:rFonts w:ascii="Times New Roman" w:hAnsi="Times New Roman"/>
          <w:spacing w:val="-4"/>
          <w:sz w:val="28"/>
          <w:szCs w:val="28"/>
          <w:lang w:val="sq-AL"/>
        </w:rPr>
        <w:t>ë</w:t>
      </w:r>
      <w:r w:rsidR="00A90F86" w:rsidRPr="00C03A20">
        <w:rPr>
          <w:rFonts w:ascii="Times New Roman" w:hAnsi="Times New Roman"/>
          <w:spacing w:val="-4"/>
          <w:sz w:val="28"/>
          <w:szCs w:val="28"/>
          <w:lang w:val="sq-AL"/>
        </w:rPr>
        <w:t xml:space="preserve"> dh</w:t>
      </w:r>
      <w:r w:rsidR="00AB281A" w:rsidRPr="00C03A20">
        <w:rPr>
          <w:rFonts w:ascii="Times New Roman" w:hAnsi="Times New Roman"/>
          <w:spacing w:val="-4"/>
          <w:sz w:val="28"/>
          <w:szCs w:val="28"/>
          <w:lang w:val="sq-AL"/>
        </w:rPr>
        <w:t>ë</w:t>
      </w:r>
      <w:r w:rsidR="00A90F86" w:rsidRPr="00C03A20">
        <w:rPr>
          <w:rFonts w:ascii="Times New Roman" w:hAnsi="Times New Roman"/>
          <w:spacing w:val="-4"/>
          <w:sz w:val="28"/>
          <w:szCs w:val="28"/>
          <w:lang w:val="sq-AL"/>
        </w:rPr>
        <w:t>n</w:t>
      </w:r>
      <w:r w:rsidR="00AB281A" w:rsidRPr="00C03A20">
        <w:rPr>
          <w:rFonts w:ascii="Times New Roman" w:hAnsi="Times New Roman"/>
          <w:spacing w:val="-4"/>
          <w:sz w:val="28"/>
          <w:szCs w:val="28"/>
          <w:lang w:val="sq-AL"/>
        </w:rPr>
        <w:t>ë</w:t>
      </w:r>
      <w:r w:rsidR="00A90F86" w:rsidRPr="00C03A20">
        <w:rPr>
          <w:rFonts w:ascii="Times New Roman" w:hAnsi="Times New Roman"/>
          <w:spacing w:val="-4"/>
          <w:sz w:val="28"/>
          <w:szCs w:val="28"/>
          <w:lang w:val="sq-AL"/>
        </w:rPr>
        <w:t xml:space="preserve"> masat e sigurimit t</w:t>
      </w:r>
      <w:r w:rsidR="00AB281A" w:rsidRPr="00C03A20">
        <w:rPr>
          <w:rFonts w:ascii="Times New Roman" w:hAnsi="Times New Roman"/>
          <w:spacing w:val="-4"/>
          <w:sz w:val="28"/>
          <w:szCs w:val="28"/>
          <w:lang w:val="sq-AL"/>
        </w:rPr>
        <w:t>ë</w:t>
      </w:r>
      <w:r w:rsidR="00A90F86" w:rsidRPr="00C03A20">
        <w:rPr>
          <w:rFonts w:ascii="Times New Roman" w:hAnsi="Times New Roman"/>
          <w:spacing w:val="-4"/>
          <w:sz w:val="28"/>
          <w:szCs w:val="28"/>
          <w:lang w:val="sq-AL"/>
        </w:rPr>
        <w:t xml:space="preserve"> padis</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/masat e p</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rkohshme, rregullat p</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r ekzekutimin e masave t</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 xml:space="preserve"> p</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rkohshme, kushtet p</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r dh</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nien e masave t</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 xml:space="preserve"> p</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rkohshme, k</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rkesat p</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r l</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 xml:space="preserve">shimin e </w:t>
      </w:r>
      <w:r w:rsidR="00166B4A" w:rsidRPr="00C03A20">
        <w:rPr>
          <w:rFonts w:ascii="Times New Roman" w:hAnsi="Times New Roman"/>
          <w:spacing w:val="-4"/>
          <w:sz w:val="28"/>
          <w:szCs w:val="28"/>
          <w:lang w:val="sq-AL"/>
        </w:rPr>
        <w:t>urdhrave</w:t>
      </w:r>
      <w:r w:rsidR="00D463C9" w:rsidRPr="00C03A20">
        <w:rPr>
          <w:rFonts w:ascii="Times New Roman" w:hAnsi="Times New Roman"/>
          <w:spacing w:val="-4"/>
          <w:sz w:val="28"/>
          <w:szCs w:val="28"/>
          <w:lang w:val="sq-AL"/>
        </w:rPr>
        <w:t xml:space="preserve"> paraprak</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 xml:space="preserve"> dhe kushtet p</w:t>
      </w:r>
      <w:r w:rsidR="00AB281A" w:rsidRPr="00C03A20">
        <w:rPr>
          <w:rFonts w:ascii="Times New Roman" w:hAnsi="Times New Roman"/>
          <w:spacing w:val="-4"/>
          <w:sz w:val="28"/>
          <w:szCs w:val="28"/>
          <w:lang w:val="sq-AL"/>
        </w:rPr>
        <w:t>ë</w:t>
      </w:r>
      <w:r w:rsidR="00D463C9" w:rsidRPr="00C03A20">
        <w:rPr>
          <w:rFonts w:ascii="Times New Roman" w:hAnsi="Times New Roman"/>
          <w:spacing w:val="-4"/>
          <w:sz w:val="28"/>
          <w:szCs w:val="28"/>
          <w:lang w:val="sq-AL"/>
        </w:rPr>
        <w:t xml:space="preserve">r pranimin e tyre, </w:t>
      </w:r>
      <w:r w:rsidR="001A3D6D" w:rsidRPr="00C03A20">
        <w:rPr>
          <w:rFonts w:ascii="Times New Roman" w:hAnsi="Times New Roman"/>
          <w:spacing w:val="-4"/>
          <w:sz w:val="28"/>
          <w:szCs w:val="28"/>
          <w:lang w:val="sq-AL"/>
        </w:rPr>
        <w:t>regjimin specifik p</w:t>
      </w:r>
      <w:r w:rsidR="00AB281A" w:rsidRPr="00C03A20">
        <w:rPr>
          <w:rFonts w:ascii="Times New Roman" w:hAnsi="Times New Roman"/>
          <w:spacing w:val="-4"/>
          <w:sz w:val="28"/>
          <w:szCs w:val="28"/>
          <w:lang w:val="sq-AL"/>
        </w:rPr>
        <w:t>ë</w:t>
      </w:r>
      <w:r w:rsidR="001A3D6D" w:rsidRPr="00C03A20">
        <w:rPr>
          <w:rFonts w:ascii="Times New Roman" w:hAnsi="Times New Roman"/>
          <w:spacing w:val="-4"/>
          <w:sz w:val="28"/>
          <w:szCs w:val="28"/>
          <w:lang w:val="sq-AL"/>
        </w:rPr>
        <w:t xml:space="preserve">r </w:t>
      </w:r>
      <w:r w:rsidR="00166B4A" w:rsidRPr="00C03A20">
        <w:rPr>
          <w:rFonts w:ascii="Times New Roman" w:hAnsi="Times New Roman"/>
          <w:spacing w:val="-4"/>
          <w:sz w:val="28"/>
          <w:szCs w:val="28"/>
          <w:lang w:val="sq-AL"/>
        </w:rPr>
        <w:t>urdhrat</w:t>
      </w:r>
      <w:r w:rsidR="001A3D6D" w:rsidRPr="00C03A20">
        <w:rPr>
          <w:rFonts w:ascii="Times New Roman" w:hAnsi="Times New Roman"/>
          <w:spacing w:val="-4"/>
          <w:sz w:val="28"/>
          <w:szCs w:val="28"/>
          <w:lang w:val="sq-AL"/>
        </w:rPr>
        <w:t xml:space="preserve"> paraprak</w:t>
      </w:r>
      <w:r w:rsidR="00AB281A" w:rsidRPr="00C03A20">
        <w:rPr>
          <w:rFonts w:ascii="Times New Roman" w:hAnsi="Times New Roman"/>
          <w:spacing w:val="-4"/>
          <w:sz w:val="28"/>
          <w:szCs w:val="28"/>
          <w:lang w:val="sq-AL"/>
        </w:rPr>
        <w:t>ë</w:t>
      </w:r>
      <w:r w:rsidR="001A3D6D" w:rsidRPr="00C03A20">
        <w:rPr>
          <w:rFonts w:ascii="Times New Roman" w:hAnsi="Times New Roman"/>
          <w:spacing w:val="-4"/>
          <w:sz w:val="28"/>
          <w:szCs w:val="28"/>
          <w:lang w:val="sq-AL"/>
        </w:rPr>
        <w:t xml:space="preserve">, </w:t>
      </w:r>
      <w:r w:rsidR="00416B00" w:rsidRPr="00C03A20">
        <w:rPr>
          <w:rFonts w:ascii="Times New Roman" w:hAnsi="Times New Roman"/>
          <w:spacing w:val="-4"/>
          <w:sz w:val="28"/>
          <w:szCs w:val="28"/>
          <w:lang w:val="sq-AL"/>
        </w:rPr>
        <w:t xml:space="preserve">ndryshimin, pezullimin ose përfundimin e një masë paraprake ose një </w:t>
      </w:r>
      <w:r w:rsidR="00166B4A" w:rsidRPr="00C03A20">
        <w:rPr>
          <w:rFonts w:ascii="Times New Roman" w:hAnsi="Times New Roman"/>
          <w:spacing w:val="-4"/>
          <w:sz w:val="28"/>
          <w:szCs w:val="28"/>
          <w:lang w:val="sq-AL"/>
        </w:rPr>
        <w:t>urdhri</w:t>
      </w:r>
      <w:r w:rsidR="00416B00" w:rsidRPr="00C03A20">
        <w:rPr>
          <w:rFonts w:ascii="Times New Roman" w:hAnsi="Times New Roman"/>
          <w:spacing w:val="-4"/>
          <w:sz w:val="28"/>
          <w:szCs w:val="28"/>
          <w:lang w:val="sq-AL"/>
        </w:rPr>
        <w:t xml:space="preserve"> të përkohshëm, garancin</w:t>
      </w:r>
      <w:r w:rsidR="00AB281A" w:rsidRPr="00C03A20">
        <w:rPr>
          <w:rFonts w:ascii="Times New Roman" w:hAnsi="Times New Roman"/>
          <w:spacing w:val="-4"/>
          <w:sz w:val="28"/>
          <w:szCs w:val="28"/>
          <w:lang w:val="sq-AL"/>
        </w:rPr>
        <w:t>ë</w:t>
      </w:r>
      <w:r w:rsidR="00416B00" w:rsidRPr="00C03A20">
        <w:rPr>
          <w:rFonts w:ascii="Times New Roman" w:hAnsi="Times New Roman"/>
          <w:spacing w:val="-4"/>
          <w:sz w:val="28"/>
          <w:szCs w:val="28"/>
          <w:lang w:val="sq-AL"/>
        </w:rPr>
        <w:t>, detyrimin p</w:t>
      </w:r>
      <w:r w:rsidR="00AB281A" w:rsidRPr="00C03A20">
        <w:rPr>
          <w:rFonts w:ascii="Times New Roman" w:hAnsi="Times New Roman"/>
          <w:spacing w:val="-4"/>
          <w:sz w:val="28"/>
          <w:szCs w:val="28"/>
          <w:lang w:val="sq-AL"/>
        </w:rPr>
        <w:t>ë</w:t>
      </w:r>
      <w:r w:rsidR="00416B00" w:rsidRPr="00C03A20">
        <w:rPr>
          <w:rFonts w:ascii="Times New Roman" w:hAnsi="Times New Roman"/>
          <w:spacing w:val="-4"/>
          <w:sz w:val="28"/>
          <w:szCs w:val="28"/>
          <w:lang w:val="sq-AL"/>
        </w:rPr>
        <w:t>r paraqitjen e rrethanave dhe fakteve t</w:t>
      </w:r>
      <w:r w:rsidR="00AB281A" w:rsidRPr="00C03A20">
        <w:rPr>
          <w:rFonts w:ascii="Times New Roman" w:hAnsi="Times New Roman"/>
          <w:spacing w:val="-4"/>
          <w:sz w:val="28"/>
          <w:szCs w:val="28"/>
          <w:lang w:val="sq-AL"/>
        </w:rPr>
        <w:t>ë</w:t>
      </w:r>
      <w:r w:rsidR="00416B00" w:rsidRPr="00C03A20">
        <w:rPr>
          <w:rFonts w:ascii="Times New Roman" w:hAnsi="Times New Roman"/>
          <w:spacing w:val="-4"/>
          <w:sz w:val="28"/>
          <w:szCs w:val="28"/>
          <w:lang w:val="sq-AL"/>
        </w:rPr>
        <w:t xml:space="preserve"> mosmarr</w:t>
      </w:r>
      <w:r w:rsidR="00AB281A" w:rsidRPr="00C03A20">
        <w:rPr>
          <w:rFonts w:ascii="Times New Roman" w:hAnsi="Times New Roman"/>
          <w:spacing w:val="-4"/>
          <w:sz w:val="28"/>
          <w:szCs w:val="28"/>
          <w:lang w:val="sq-AL"/>
        </w:rPr>
        <w:t>ë</w:t>
      </w:r>
      <w:r w:rsidR="00416B00" w:rsidRPr="00C03A20">
        <w:rPr>
          <w:rFonts w:ascii="Times New Roman" w:hAnsi="Times New Roman"/>
          <w:spacing w:val="-4"/>
          <w:sz w:val="28"/>
          <w:szCs w:val="28"/>
          <w:lang w:val="sq-AL"/>
        </w:rPr>
        <w:t>veshjes</w:t>
      </w:r>
      <w:r w:rsidR="00933ACF" w:rsidRPr="00C03A20">
        <w:rPr>
          <w:rFonts w:ascii="Times New Roman" w:hAnsi="Times New Roman"/>
          <w:spacing w:val="-4"/>
          <w:sz w:val="28"/>
          <w:szCs w:val="28"/>
          <w:lang w:val="sq-AL"/>
        </w:rPr>
        <w:t>, kostot dhe d</w:t>
      </w:r>
      <w:r w:rsidR="00AB281A" w:rsidRPr="00C03A20">
        <w:rPr>
          <w:rFonts w:ascii="Times New Roman" w:hAnsi="Times New Roman"/>
          <w:spacing w:val="-4"/>
          <w:sz w:val="28"/>
          <w:szCs w:val="28"/>
          <w:lang w:val="sq-AL"/>
        </w:rPr>
        <w:t>ë</w:t>
      </w:r>
      <w:r w:rsidR="00933ACF" w:rsidRPr="00C03A20">
        <w:rPr>
          <w:rFonts w:ascii="Times New Roman" w:hAnsi="Times New Roman"/>
          <w:spacing w:val="-4"/>
          <w:sz w:val="28"/>
          <w:szCs w:val="28"/>
          <w:lang w:val="sq-AL"/>
        </w:rPr>
        <w:t>met, njohjen dhe zbatimin, arsyet p</w:t>
      </w:r>
      <w:r w:rsidR="00AB281A" w:rsidRPr="00C03A20">
        <w:rPr>
          <w:rFonts w:ascii="Times New Roman" w:hAnsi="Times New Roman"/>
          <w:spacing w:val="-4"/>
          <w:sz w:val="28"/>
          <w:szCs w:val="28"/>
          <w:lang w:val="sq-AL"/>
        </w:rPr>
        <w:t>ë</w:t>
      </w:r>
      <w:r w:rsidR="00933ACF" w:rsidRPr="00C03A20">
        <w:rPr>
          <w:rFonts w:ascii="Times New Roman" w:hAnsi="Times New Roman"/>
          <w:spacing w:val="-4"/>
          <w:sz w:val="28"/>
          <w:szCs w:val="28"/>
          <w:lang w:val="sq-AL"/>
        </w:rPr>
        <w:t>r refuzimin e njohjes ose zbat</w:t>
      </w:r>
      <w:r w:rsidR="00166B4A" w:rsidRPr="00C03A20">
        <w:rPr>
          <w:rFonts w:ascii="Times New Roman" w:hAnsi="Times New Roman"/>
          <w:spacing w:val="-4"/>
          <w:sz w:val="28"/>
          <w:szCs w:val="28"/>
          <w:lang w:val="sq-AL"/>
        </w:rPr>
        <w:t>imit si dhe masat e sigurimit të padisë të</w:t>
      </w:r>
      <w:r w:rsidR="00933ACF" w:rsidRPr="00C03A20">
        <w:rPr>
          <w:rFonts w:ascii="Times New Roman" w:hAnsi="Times New Roman"/>
          <w:spacing w:val="-4"/>
          <w:sz w:val="28"/>
          <w:szCs w:val="28"/>
          <w:lang w:val="sq-AL"/>
        </w:rPr>
        <w:t xml:space="preserve"> l</w:t>
      </w:r>
      <w:r w:rsidR="00AB281A" w:rsidRPr="00C03A20">
        <w:rPr>
          <w:rFonts w:ascii="Times New Roman" w:hAnsi="Times New Roman"/>
          <w:spacing w:val="-4"/>
          <w:sz w:val="28"/>
          <w:szCs w:val="28"/>
          <w:lang w:val="sq-AL"/>
        </w:rPr>
        <w:t>ë</w:t>
      </w:r>
      <w:r w:rsidR="00933ACF" w:rsidRPr="00C03A20">
        <w:rPr>
          <w:rFonts w:ascii="Times New Roman" w:hAnsi="Times New Roman"/>
          <w:spacing w:val="-4"/>
          <w:sz w:val="28"/>
          <w:szCs w:val="28"/>
          <w:lang w:val="sq-AL"/>
        </w:rPr>
        <w:t>shuara nga gjykata.</w:t>
      </w:r>
      <w:r w:rsidR="009F2104" w:rsidRPr="00C03A20">
        <w:rPr>
          <w:rFonts w:ascii="Times New Roman" w:hAnsi="Times New Roman"/>
          <w:spacing w:val="-4"/>
          <w:sz w:val="28"/>
          <w:szCs w:val="28"/>
          <w:lang w:val="sq-AL"/>
        </w:rPr>
        <w:t xml:space="preserve"> </w:t>
      </w:r>
      <w:r w:rsidR="00EF27C2" w:rsidRPr="00C03A20">
        <w:rPr>
          <w:rFonts w:ascii="Times New Roman" w:hAnsi="Times New Roman"/>
          <w:spacing w:val="-4"/>
          <w:sz w:val="28"/>
          <w:szCs w:val="28"/>
          <w:lang w:val="sq-AL"/>
        </w:rPr>
        <w:t>Këto</w:t>
      </w:r>
      <w:r w:rsidR="009F2104" w:rsidRPr="00C03A20">
        <w:rPr>
          <w:rFonts w:ascii="Times New Roman" w:hAnsi="Times New Roman"/>
          <w:spacing w:val="-4"/>
          <w:sz w:val="28"/>
          <w:szCs w:val="28"/>
          <w:lang w:val="sq-AL"/>
        </w:rPr>
        <w:t xml:space="preserve"> parashikime </w:t>
      </w:r>
      <w:r w:rsidR="00EF27C2" w:rsidRPr="00C03A20">
        <w:rPr>
          <w:rFonts w:ascii="Times New Roman" w:hAnsi="Times New Roman"/>
          <w:spacing w:val="-4"/>
          <w:sz w:val="28"/>
          <w:szCs w:val="28"/>
          <w:lang w:val="sq-AL"/>
        </w:rPr>
        <w:t>janë bërë</w:t>
      </w:r>
      <w:r w:rsidR="009F2104" w:rsidRPr="00C03A20">
        <w:rPr>
          <w:rFonts w:ascii="Times New Roman" w:hAnsi="Times New Roman"/>
          <w:spacing w:val="-4"/>
          <w:sz w:val="28"/>
          <w:szCs w:val="28"/>
          <w:lang w:val="sq-AL"/>
        </w:rPr>
        <w:t xml:space="preserve"> </w:t>
      </w:r>
      <w:r w:rsidR="00EF27C2" w:rsidRPr="00C03A20">
        <w:rPr>
          <w:rFonts w:ascii="Times New Roman" w:hAnsi="Times New Roman"/>
          <w:spacing w:val="-4"/>
          <w:sz w:val="28"/>
          <w:szCs w:val="28"/>
          <w:lang w:val="sq-AL"/>
        </w:rPr>
        <w:t>në</w:t>
      </w:r>
      <w:r w:rsidR="009F2104" w:rsidRPr="00C03A20">
        <w:rPr>
          <w:rFonts w:ascii="Times New Roman" w:hAnsi="Times New Roman"/>
          <w:spacing w:val="-4"/>
          <w:sz w:val="28"/>
          <w:szCs w:val="28"/>
          <w:lang w:val="sq-AL"/>
        </w:rPr>
        <w:t xml:space="preserve"> </w:t>
      </w:r>
      <w:r w:rsidR="00EF27C2" w:rsidRPr="00C03A20">
        <w:rPr>
          <w:rFonts w:ascii="Times New Roman" w:hAnsi="Times New Roman"/>
          <w:spacing w:val="-4"/>
          <w:sz w:val="28"/>
          <w:szCs w:val="28"/>
          <w:lang w:val="sq-AL"/>
        </w:rPr>
        <w:t>përputhje</w:t>
      </w:r>
      <w:r w:rsidR="009F2104" w:rsidRPr="00C03A20">
        <w:rPr>
          <w:rFonts w:ascii="Times New Roman" w:hAnsi="Times New Roman"/>
          <w:spacing w:val="-4"/>
          <w:sz w:val="28"/>
          <w:szCs w:val="28"/>
          <w:lang w:val="sq-AL"/>
        </w:rPr>
        <w:t xml:space="preserve"> me parashikimet e neneve </w:t>
      </w:r>
      <w:r w:rsidR="00103F69" w:rsidRPr="00C03A20">
        <w:rPr>
          <w:rFonts w:ascii="Times New Roman" w:hAnsi="Times New Roman"/>
          <w:spacing w:val="-4"/>
          <w:sz w:val="28"/>
          <w:szCs w:val="28"/>
          <w:lang w:val="sq-AL"/>
        </w:rPr>
        <w:t xml:space="preserve"> 17, 17.A, 17.B, 17.C, 17.D, 17.E, 17.F, 17.G, 17.H, 17.I,</w:t>
      </w:r>
      <w:r w:rsidR="00EF27C2" w:rsidRPr="00C03A20">
        <w:rPr>
          <w:rFonts w:ascii="Times New Roman" w:hAnsi="Times New Roman"/>
          <w:spacing w:val="-4"/>
          <w:sz w:val="28"/>
          <w:szCs w:val="28"/>
          <w:lang w:val="sq-AL"/>
        </w:rPr>
        <w:t xml:space="preserve"> dhe </w:t>
      </w:r>
      <w:r w:rsidR="00103F69" w:rsidRPr="00C03A20">
        <w:rPr>
          <w:rFonts w:ascii="Times New Roman" w:hAnsi="Times New Roman"/>
          <w:spacing w:val="-4"/>
          <w:sz w:val="28"/>
          <w:szCs w:val="28"/>
          <w:lang w:val="sq-AL"/>
        </w:rPr>
        <w:t xml:space="preserve"> 17.J</w:t>
      </w:r>
      <w:r w:rsidR="00EF27C2" w:rsidRPr="00C03A20">
        <w:rPr>
          <w:rFonts w:ascii="Times New Roman" w:hAnsi="Times New Roman"/>
          <w:spacing w:val="-4"/>
          <w:sz w:val="28"/>
          <w:szCs w:val="28"/>
          <w:lang w:val="sq-AL"/>
        </w:rPr>
        <w:t xml:space="preserve"> të ligjit model UNCITRAL.</w:t>
      </w:r>
    </w:p>
    <w:p w:rsidR="009F2104" w:rsidRPr="00C03A20" w:rsidRDefault="009F2104" w:rsidP="00C03A20">
      <w:pPr>
        <w:spacing w:after="0"/>
        <w:jc w:val="both"/>
        <w:rPr>
          <w:rFonts w:ascii="Times New Roman" w:hAnsi="Times New Roman"/>
          <w:spacing w:val="-4"/>
          <w:sz w:val="28"/>
          <w:szCs w:val="28"/>
          <w:lang w:val="sq-AL"/>
        </w:rPr>
      </w:pPr>
    </w:p>
    <w:p w:rsidR="00E92EDE" w:rsidRPr="00C03A20" w:rsidRDefault="0072453A" w:rsidP="00C03A20">
      <w:pPr>
        <w:spacing w:after="0"/>
        <w:jc w:val="both"/>
        <w:rPr>
          <w:rFonts w:ascii="Times New Roman" w:hAnsi="Times New Roman"/>
          <w:spacing w:val="-4"/>
          <w:sz w:val="28"/>
          <w:szCs w:val="28"/>
          <w:lang w:val="sq-AL"/>
        </w:rPr>
      </w:pPr>
      <w:r w:rsidRPr="00C03A20">
        <w:rPr>
          <w:rFonts w:ascii="Times New Roman" w:hAnsi="Times New Roman"/>
          <w:b/>
          <w:bCs/>
          <w:spacing w:val="-4"/>
          <w:sz w:val="28"/>
          <w:szCs w:val="28"/>
          <w:lang w:val="sq-AL"/>
        </w:rPr>
        <w:lastRenderedPageBreak/>
        <w:t xml:space="preserve">KREU V </w:t>
      </w:r>
      <w:r w:rsidRPr="00C03A20">
        <w:rPr>
          <w:rFonts w:ascii="Times New Roman" w:hAnsi="Times New Roman"/>
          <w:spacing w:val="-4"/>
          <w:sz w:val="28"/>
          <w:szCs w:val="28"/>
          <w:lang w:val="sq-AL"/>
        </w:rPr>
        <w:t>“</w:t>
      </w:r>
      <w:r w:rsidR="00C235F2" w:rsidRPr="00C03A20">
        <w:rPr>
          <w:rFonts w:ascii="Times New Roman" w:hAnsi="Times New Roman"/>
          <w:i/>
          <w:iCs/>
          <w:spacing w:val="-4"/>
          <w:sz w:val="28"/>
          <w:szCs w:val="28"/>
          <w:lang w:val="sq-AL"/>
        </w:rPr>
        <w:t>Zhvillim</w:t>
      </w:r>
      <w:r w:rsidR="00111DDC" w:rsidRPr="00C03A20">
        <w:rPr>
          <w:rFonts w:ascii="Times New Roman" w:hAnsi="Times New Roman"/>
          <w:i/>
          <w:iCs/>
          <w:spacing w:val="-4"/>
          <w:sz w:val="28"/>
          <w:szCs w:val="28"/>
          <w:lang w:val="sq-AL"/>
        </w:rPr>
        <w:t>i i procedurave të ar</w:t>
      </w:r>
      <w:r w:rsidR="00C235F2" w:rsidRPr="00C03A20">
        <w:rPr>
          <w:rFonts w:ascii="Times New Roman" w:hAnsi="Times New Roman"/>
          <w:i/>
          <w:iCs/>
          <w:spacing w:val="-4"/>
          <w:sz w:val="28"/>
          <w:szCs w:val="28"/>
          <w:lang w:val="sq-AL"/>
        </w:rPr>
        <w:t>bitrazhit</w:t>
      </w:r>
      <w:r w:rsidR="0024366F" w:rsidRPr="00C03A20">
        <w:rPr>
          <w:rFonts w:ascii="Times New Roman" w:hAnsi="Times New Roman"/>
          <w:spacing w:val="-4"/>
          <w:sz w:val="28"/>
          <w:szCs w:val="28"/>
          <w:lang w:val="sq-AL"/>
        </w:rPr>
        <w:t>”</w:t>
      </w:r>
      <w:r w:rsidR="00C84272" w:rsidRPr="00C03A20">
        <w:rPr>
          <w:rFonts w:ascii="Times New Roman" w:hAnsi="Times New Roman"/>
          <w:spacing w:val="-4"/>
          <w:sz w:val="28"/>
          <w:szCs w:val="28"/>
          <w:lang w:val="sq-AL"/>
        </w:rPr>
        <w:t xml:space="preserve"> p</w:t>
      </w:r>
      <w:r w:rsidR="00F01E35" w:rsidRPr="00C03A20">
        <w:rPr>
          <w:rFonts w:ascii="Times New Roman" w:hAnsi="Times New Roman"/>
          <w:spacing w:val="-4"/>
          <w:sz w:val="28"/>
          <w:szCs w:val="28"/>
          <w:lang w:val="sq-AL"/>
        </w:rPr>
        <w:t>ë</w:t>
      </w:r>
      <w:r w:rsidR="00C84272" w:rsidRPr="00C03A20">
        <w:rPr>
          <w:rFonts w:ascii="Times New Roman" w:hAnsi="Times New Roman"/>
          <w:spacing w:val="-4"/>
          <w:sz w:val="28"/>
          <w:szCs w:val="28"/>
          <w:lang w:val="sq-AL"/>
        </w:rPr>
        <w:t>r</w:t>
      </w:r>
      <w:r w:rsidR="006B3CFB" w:rsidRPr="00C03A20">
        <w:rPr>
          <w:rFonts w:ascii="Times New Roman" w:hAnsi="Times New Roman"/>
          <w:spacing w:val="-4"/>
          <w:sz w:val="28"/>
          <w:szCs w:val="28"/>
          <w:lang w:val="sq-AL"/>
        </w:rPr>
        <w:t xml:space="preserve">mban rregullat e zbatueshme </w:t>
      </w:r>
      <w:r w:rsidR="006C4660" w:rsidRPr="00C03A20">
        <w:rPr>
          <w:rFonts w:ascii="Times New Roman" w:hAnsi="Times New Roman"/>
          <w:spacing w:val="-4"/>
          <w:sz w:val="28"/>
          <w:szCs w:val="28"/>
          <w:lang w:val="sq-AL"/>
        </w:rPr>
        <w:t>p</w:t>
      </w:r>
      <w:r w:rsidR="008D12E2" w:rsidRPr="00C03A20">
        <w:rPr>
          <w:rFonts w:ascii="Times New Roman" w:hAnsi="Times New Roman"/>
          <w:spacing w:val="-4"/>
          <w:sz w:val="28"/>
          <w:szCs w:val="28"/>
          <w:lang w:val="sq-AL"/>
        </w:rPr>
        <w:t>ë</w:t>
      </w:r>
      <w:r w:rsidR="006C4660" w:rsidRPr="00C03A20">
        <w:rPr>
          <w:rFonts w:ascii="Times New Roman" w:hAnsi="Times New Roman"/>
          <w:spacing w:val="-4"/>
          <w:sz w:val="28"/>
          <w:szCs w:val="28"/>
          <w:lang w:val="sq-AL"/>
        </w:rPr>
        <w:t>rgjat</w:t>
      </w:r>
      <w:r w:rsidR="008D12E2" w:rsidRPr="00C03A20">
        <w:rPr>
          <w:rFonts w:ascii="Times New Roman" w:hAnsi="Times New Roman"/>
          <w:spacing w:val="-4"/>
          <w:sz w:val="28"/>
          <w:szCs w:val="28"/>
          <w:lang w:val="sq-AL"/>
        </w:rPr>
        <w:t>ë</w:t>
      </w:r>
      <w:r w:rsidR="006C4660" w:rsidRPr="00C03A20">
        <w:rPr>
          <w:rFonts w:ascii="Times New Roman" w:hAnsi="Times New Roman"/>
          <w:spacing w:val="-4"/>
          <w:sz w:val="28"/>
          <w:szCs w:val="28"/>
          <w:lang w:val="sq-AL"/>
        </w:rPr>
        <w:t xml:space="preserve"> zhvillimit t</w:t>
      </w:r>
      <w:r w:rsidR="008D12E2" w:rsidRPr="00C03A20">
        <w:rPr>
          <w:rFonts w:ascii="Times New Roman" w:hAnsi="Times New Roman"/>
          <w:spacing w:val="-4"/>
          <w:sz w:val="28"/>
          <w:szCs w:val="28"/>
          <w:lang w:val="sq-AL"/>
        </w:rPr>
        <w:t>ë</w:t>
      </w:r>
      <w:r w:rsidR="006C4660" w:rsidRPr="00C03A20">
        <w:rPr>
          <w:rFonts w:ascii="Times New Roman" w:hAnsi="Times New Roman"/>
          <w:spacing w:val="-4"/>
          <w:sz w:val="28"/>
          <w:szCs w:val="28"/>
          <w:lang w:val="sq-AL"/>
        </w:rPr>
        <w:t xml:space="preserve"> </w:t>
      </w:r>
      <w:r w:rsidR="00F22006" w:rsidRPr="00C03A20">
        <w:rPr>
          <w:rFonts w:ascii="Times New Roman" w:hAnsi="Times New Roman"/>
          <w:spacing w:val="-4"/>
          <w:sz w:val="28"/>
          <w:szCs w:val="28"/>
          <w:lang w:val="sq-AL"/>
        </w:rPr>
        <w:t>procedurave t</w:t>
      </w:r>
      <w:r w:rsidR="008D12E2" w:rsidRPr="00C03A20">
        <w:rPr>
          <w:rFonts w:ascii="Times New Roman" w:hAnsi="Times New Roman"/>
          <w:spacing w:val="-4"/>
          <w:sz w:val="28"/>
          <w:szCs w:val="28"/>
          <w:lang w:val="sq-AL"/>
        </w:rPr>
        <w:t>ë</w:t>
      </w:r>
      <w:r w:rsidR="00F22006" w:rsidRPr="00C03A20">
        <w:rPr>
          <w:rFonts w:ascii="Times New Roman" w:hAnsi="Times New Roman"/>
          <w:spacing w:val="-4"/>
          <w:sz w:val="28"/>
          <w:szCs w:val="28"/>
          <w:lang w:val="sq-AL"/>
        </w:rPr>
        <w:t xml:space="preserve"> arbitrazhit nga ana e gjykat</w:t>
      </w:r>
      <w:r w:rsidR="008D12E2" w:rsidRPr="00C03A20">
        <w:rPr>
          <w:rFonts w:ascii="Times New Roman" w:hAnsi="Times New Roman"/>
          <w:spacing w:val="-4"/>
          <w:sz w:val="28"/>
          <w:szCs w:val="28"/>
          <w:lang w:val="sq-AL"/>
        </w:rPr>
        <w:t>ë</w:t>
      </w:r>
      <w:r w:rsidR="00F22006" w:rsidRPr="00C03A20">
        <w:rPr>
          <w:rFonts w:ascii="Times New Roman" w:hAnsi="Times New Roman"/>
          <w:spacing w:val="-4"/>
          <w:sz w:val="28"/>
          <w:szCs w:val="28"/>
          <w:lang w:val="sq-AL"/>
        </w:rPr>
        <w:t>s s</w:t>
      </w:r>
      <w:r w:rsidR="008D12E2" w:rsidRPr="00C03A20">
        <w:rPr>
          <w:rFonts w:ascii="Times New Roman" w:hAnsi="Times New Roman"/>
          <w:spacing w:val="-4"/>
          <w:sz w:val="28"/>
          <w:szCs w:val="28"/>
          <w:lang w:val="sq-AL"/>
        </w:rPr>
        <w:t>ë</w:t>
      </w:r>
      <w:r w:rsidR="00F22006" w:rsidRPr="00C03A20">
        <w:rPr>
          <w:rFonts w:ascii="Times New Roman" w:hAnsi="Times New Roman"/>
          <w:spacing w:val="-4"/>
          <w:sz w:val="28"/>
          <w:szCs w:val="28"/>
          <w:lang w:val="sq-AL"/>
        </w:rPr>
        <w:t xml:space="preserve"> arbitrazhit</w:t>
      </w:r>
      <w:r w:rsidR="00E92EDE" w:rsidRPr="00C03A20">
        <w:rPr>
          <w:rFonts w:ascii="Times New Roman" w:hAnsi="Times New Roman"/>
          <w:spacing w:val="-4"/>
          <w:sz w:val="28"/>
          <w:szCs w:val="28"/>
          <w:lang w:val="sq-AL"/>
        </w:rPr>
        <w:t xml:space="preserve"> n</w:t>
      </w:r>
      <w:r w:rsidR="008D12E2" w:rsidRPr="00C03A20">
        <w:rPr>
          <w:rFonts w:ascii="Times New Roman" w:hAnsi="Times New Roman"/>
          <w:spacing w:val="-4"/>
          <w:sz w:val="28"/>
          <w:szCs w:val="28"/>
          <w:lang w:val="sq-AL"/>
        </w:rPr>
        <w:t>ë</w:t>
      </w:r>
      <w:r w:rsidR="00E92EDE" w:rsidRPr="00C03A20">
        <w:rPr>
          <w:rFonts w:ascii="Times New Roman" w:hAnsi="Times New Roman"/>
          <w:spacing w:val="-4"/>
          <w:sz w:val="28"/>
          <w:szCs w:val="28"/>
          <w:lang w:val="sq-AL"/>
        </w:rPr>
        <w:t xml:space="preserve"> p</w:t>
      </w:r>
      <w:r w:rsidR="008D12E2" w:rsidRPr="00C03A20">
        <w:rPr>
          <w:rFonts w:ascii="Times New Roman" w:hAnsi="Times New Roman"/>
          <w:spacing w:val="-4"/>
          <w:sz w:val="28"/>
          <w:szCs w:val="28"/>
          <w:lang w:val="sq-AL"/>
        </w:rPr>
        <w:t>ë</w:t>
      </w:r>
      <w:r w:rsidR="00E92EDE" w:rsidRPr="00C03A20">
        <w:rPr>
          <w:rFonts w:ascii="Times New Roman" w:hAnsi="Times New Roman"/>
          <w:spacing w:val="-4"/>
          <w:sz w:val="28"/>
          <w:szCs w:val="28"/>
          <w:lang w:val="sq-AL"/>
        </w:rPr>
        <w:t>rputhje me parashikimet e neneve 1</w:t>
      </w:r>
      <w:r w:rsidR="002224B8" w:rsidRPr="00C03A20">
        <w:rPr>
          <w:rFonts w:ascii="Times New Roman" w:hAnsi="Times New Roman"/>
          <w:spacing w:val="-4"/>
          <w:sz w:val="28"/>
          <w:szCs w:val="28"/>
          <w:lang w:val="sq-AL"/>
        </w:rPr>
        <w:t>8, 19, 20, 21, 22, 23, 24, 25, 26 d</w:t>
      </w:r>
      <w:r w:rsidR="00A308A8" w:rsidRPr="00C03A20">
        <w:rPr>
          <w:rFonts w:ascii="Times New Roman" w:hAnsi="Times New Roman"/>
          <w:spacing w:val="-4"/>
          <w:sz w:val="28"/>
          <w:szCs w:val="28"/>
          <w:lang w:val="sq-AL"/>
        </w:rPr>
        <w:t>he</w:t>
      </w:r>
      <w:r w:rsidR="002224B8" w:rsidRPr="00C03A20">
        <w:rPr>
          <w:rFonts w:ascii="Times New Roman" w:hAnsi="Times New Roman"/>
          <w:spacing w:val="-4"/>
          <w:sz w:val="28"/>
          <w:szCs w:val="28"/>
          <w:lang w:val="sq-AL"/>
        </w:rPr>
        <w:t xml:space="preserve"> 27 t</w:t>
      </w:r>
      <w:r w:rsidR="00E92EDE" w:rsidRPr="00C03A20">
        <w:rPr>
          <w:rFonts w:ascii="Times New Roman" w:hAnsi="Times New Roman"/>
          <w:spacing w:val="-4"/>
          <w:sz w:val="28"/>
          <w:szCs w:val="28"/>
          <w:lang w:val="sq-AL"/>
        </w:rPr>
        <w:t xml:space="preserve">ë ligjit model UNCITRAL dhe </w:t>
      </w:r>
      <w:r w:rsidR="00812109" w:rsidRPr="00C03A20">
        <w:rPr>
          <w:rFonts w:ascii="Times New Roman" w:hAnsi="Times New Roman"/>
          <w:spacing w:val="-4"/>
          <w:sz w:val="28"/>
          <w:szCs w:val="28"/>
          <w:lang w:val="sq-AL"/>
        </w:rPr>
        <w:t xml:space="preserve">që </w:t>
      </w:r>
      <w:r w:rsidR="00E92EDE" w:rsidRPr="00C03A20">
        <w:rPr>
          <w:rFonts w:ascii="Times New Roman" w:hAnsi="Times New Roman"/>
          <w:spacing w:val="-4"/>
          <w:sz w:val="28"/>
          <w:szCs w:val="28"/>
          <w:lang w:val="sq-AL"/>
        </w:rPr>
        <w:t>janë</w:t>
      </w:r>
      <w:r w:rsidR="00E81AAD" w:rsidRPr="00C03A20">
        <w:rPr>
          <w:rFonts w:ascii="Times New Roman" w:hAnsi="Times New Roman"/>
          <w:spacing w:val="-4"/>
          <w:sz w:val="28"/>
          <w:szCs w:val="28"/>
          <w:lang w:val="sq-AL"/>
        </w:rPr>
        <w:t xml:space="preserve"> </w:t>
      </w:r>
      <w:r w:rsidR="00E92EDE" w:rsidRPr="00C03A20">
        <w:rPr>
          <w:rFonts w:ascii="Times New Roman" w:hAnsi="Times New Roman"/>
          <w:spacing w:val="-4"/>
          <w:sz w:val="28"/>
          <w:szCs w:val="28"/>
          <w:lang w:val="sq-AL"/>
        </w:rPr>
        <w:t>të ngjashme me dispozitat mbi arbitrazhin të Austrisë, Gjermanisë, Italisë, Kroacisë, Polonisë dhe Sllovenisë.</w:t>
      </w:r>
    </w:p>
    <w:p w:rsidR="002224B8" w:rsidRPr="00C03A20" w:rsidRDefault="002224B8" w:rsidP="00C03A20">
      <w:pPr>
        <w:spacing w:after="0"/>
        <w:jc w:val="both"/>
        <w:rPr>
          <w:rFonts w:ascii="Times New Roman" w:hAnsi="Times New Roman"/>
          <w:spacing w:val="-4"/>
          <w:sz w:val="28"/>
          <w:szCs w:val="28"/>
          <w:lang w:val="sq-AL"/>
        </w:rPr>
      </w:pPr>
    </w:p>
    <w:p w:rsidR="00570329" w:rsidRPr="00C03A20" w:rsidRDefault="006D39CF"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Neni 31</w:t>
      </w:r>
      <w:r w:rsidR="00463C96" w:rsidRPr="00C03A20">
        <w:rPr>
          <w:rFonts w:ascii="Times New Roman" w:hAnsi="Times New Roman"/>
          <w:spacing w:val="-4"/>
          <w:sz w:val="28"/>
          <w:szCs w:val="28"/>
          <w:lang w:val="sq-AL"/>
        </w:rPr>
        <w:t xml:space="preserve"> i projektligjit </w:t>
      </w:r>
      <w:r w:rsidR="00570329" w:rsidRPr="00C03A20">
        <w:rPr>
          <w:rFonts w:ascii="Times New Roman" w:hAnsi="Times New Roman"/>
          <w:spacing w:val="-4"/>
          <w:sz w:val="28"/>
          <w:szCs w:val="28"/>
          <w:lang w:val="sq-AL"/>
        </w:rPr>
        <w:t>sanksionon se palët trajtohen në mënyrë të barabartë dhe secilës palë i jepet mundësia e plotë për të paraqitur mjetet, shpjegimet, faktet, dokumentet dhe provat mbi të cilat mbështesin pretendimet e tyre në mënyrë që të bëhet e mundur për secilën palë mbrojtja e interesave të tyre në gjykim.</w:t>
      </w:r>
    </w:p>
    <w:p w:rsidR="009114EC" w:rsidRPr="00C03A20" w:rsidRDefault="009114EC" w:rsidP="00C03A20">
      <w:pPr>
        <w:spacing w:after="0"/>
        <w:jc w:val="both"/>
        <w:rPr>
          <w:rFonts w:ascii="Times New Roman" w:hAnsi="Times New Roman"/>
          <w:spacing w:val="-4"/>
          <w:sz w:val="28"/>
          <w:szCs w:val="28"/>
          <w:lang w:val="sq-AL"/>
        </w:rPr>
      </w:pPr>
    </w:p>
    <w:p w:rsidR="002E4CC5" w:rsidRPr="00C03A20" w:rsidRDefault="006D39CF"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Neni 32</w:t>
      </w:r>
      <w:r w:rsidR="00E02AF5" w:rsidRPr="00C03A20">
        <w:rPr>
          <w:rFonts w:ascii="Times New Roman" w:hAnsi="Times New Roman"/>
          <w:spacing w:val="-4"/>
          <w:sz w:val="28"/>
          <w:szCs w:val="28"/>
          <w:lang w:val="sq-AL"/>
        </w:rPr>
        <w:t>,</w:t>
      </w:r>
      <w:r w:rsidRPr="00C03A20">
        <w:rPr>
          <w:rFonts w:ascii="Times New Roman" w:hAnsi="Times New Roman"/>
          <w:spacing w:val="-4"/>
          <w:sz w:val="28"/>
          <w:szCs w:val="28"/>
          <w:lang w:val="sq-AL"/>
        </w:rPr>
        <w:t xml:space="preserve"> i projektligjit përcakton rregullat </w:t>
      </w:r>
      <w:r w:rsidR="005E7EAD" w:rsidRPr="00C03A20">
        <w:rPr>
          <w:rFonts w:ascii="Times New Roman" w:hAnsi="Times New Roman"/>
          <w:spacing w:val="-4"/>
          <w:sz w:val="28"/>
          <w:szCs w:val="28"/>
          <w:lang w:val="sq-AL"/>
        </w:rPr>
        <w:t>procedurale</w:t>
      </w:r>
      <w:r w:rsidRPr="00C03A20">
        <w:rPr>
          <w:rFonts w:ascii="Times New Roman" w:hAnsi="Times New Roman"/>
          <w:spacing w:val="-4"/>
          <w:sz w:val="28"/>
          <w:szCs w:val="28"/>
          <w:lang w:val="sq-AL"/>
        </w:rPr>
        <w:t xml:space="preserve"> gjatë zhvillimit të procedurës së arbitrazhit. N</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k</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t</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n</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p</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rcaktohet se pal</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t jan</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t</w:t>
      </w:r>
      <w:r w:rsidR="005E7EAD" w:rsidRPr="00C03A20">
        <w:rPr>
          <w:rFonts w:ascii="Times New Roman" w:hAnsi="Times New Roman"/>
          <w:spacing w:val="-4"/>
          <w:sz w:val="28"/>
          <w:szCs w:val="28"/>
          <w:lang w:val="sq-AL"/>
        </w:rPr>
        <w:t>ë</w:t>
      </w:r>
      <w:r w:rsidRPr="00C03A20">
        <w:rPr>
          <w:rFonts w:ascii="Times New Roman" w:hAnsi="Times New Roman"/>
          <w:spacing w:val="-4"/>
          <w:sz w:val="28"/>
          <w:szCs w:val="28"/>
          <w:lang w:val="sq-AL"/>
        </w:rPr>
        <w:t xml:space="preserve"> lira </w:t>
      </w:r>
      <w:r w:rsidR="002E4CC5" w:rsidRPr="00C03A20">
        <w:rPr>
          <w:rFonts w:ascii="Times New Roman" w:hAnsi="Times New Roman"/>
          <w:spacing w:val="-4"/>
          <w:sz w:val="28"/>
          <w:szCs w:val="28"/>
          <w:lang w:val="sq-AL"/>
        </w:rPr>
        <w:t>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bien dakord n</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lidhje me procedur</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n q</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do 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ndiqet nga gjykata e arbitrazhit gjat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procesit 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gjykimit, p</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rveçse kur parashikohet ndryshe n</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ligj. N</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rastin kur pal</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t nuk i kan</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p</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rcaktuar k</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to rregulla, gjykata e arbitrazhit ka 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drejt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caktoj</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rregulla </w:t>
      </w:r>
      <w:r w:rsidR="005E7EAD" w:rsidRPr="00C03A20">
        <w:rPr>
          <w:rFonts w:ascii="Times New Roman" w:hAnsi="Times New Roman"/>
          <w:spacing w:val="-4"/>
          <w:sz w:val="28"/>
          <w:szCs w:val="28"/>
          <w:lang w:val="sq-AL"/>
        </w:rPr>
        <w:t>procedurale</w:t>
      </w:r>
      <w:r w:rsidR="002E4CC5" w:rsidRPr="00C03A20">
        <w:rPr>
          <w:rFonts w:ascii="Times New Roman" w:hAnsi="Times New Roman"/>
          <w:spacing w:val="-4"/>
          <w:sz w:val="28"/>
          <w:szCs w:val="28"/>
          <w:lang w:val="sq-AL"/>
        </w:rPr>
        <w:t xml:space="preserve"> q</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i konsideron t</w:t>
      </w:r>
      <w:r w:rsidR="005E7EAD" w:rsidRPr="00C03A20">
        <w:rPr>
          <w:rFonts w:ascii="Times New Roman" w:hAnsi="Times New Roman"/>
          <w:spacing w:val="-4"/>
          <w:sz w:val="28"/>
          <w:szCs w:val="28"/>
          <w:lang w:val="sq-AL"/>
        </w:rPr>
        <w:t>ë</w:t>
      </w:r>
      <w:r w:rsidR="002E4CC5" w:rsidRPr="00C03A20">
        <w:rPr>
          <w:rFonts w:ascii="Times New Roman" w:hAnsi="Times New Roman"/>
          <w:spacing w:val="-4"/>
          <w:sz w:val="28"/>
          <w:szCs w:val="28"/>
          <w:lang w:val="sq-AL"/>
        </w:rPr>
        <w:t xml:space="preserve"> </w:t>
      </w:r>
      <w:r w:rsidR="005E7EAD" w:rsidRPr="00C03A20">
        <w:rPr>
          <w:rFonts w:ascii="Times New Roman" w:hAnsi="Times New Roman"/>
          <w:spacing w:val="-4"/>
          <w:sz w:val="28"/>
          <w:szCs w:val="28"/>
          <w:lang w:val="sq-AL"/>
        </w:rPr>
        <w:t>përshtatshme</w:t>
      </w:r>
      <w:r w:rsidR="002E4CC5" w:rsidRPr="00C03A20">
        <w:rPr>
          <w:rFonts w:ascii="Times New Roman" w:hAnsi="Times New Roman"/>
          <w:spacing w:val="-4"/>
          <w:sz w:val="28"/>
          <w:szCs w:val="28"/>
          <w:lang w:val="sq-AL"/>
        </w:rPr>
        <w:t xml:space="preserve">. </w:t>
      </w:r>
    </w:p>
    <w:p w:rsidR="005E7EAD" w:rsidRPr="00C03A20" w:rsidRDefault="005E7EAD" w:rsidP="00C03A20">
      <w:pPr>
        <w:spacing w:after="0"/>
        <w:jc w:val="both"/>
        <w:rPr>
          <w:rFonts w:ascii="Times New Roman" w:hAnsi="Times New Roman"/>
          <w:spacing w:val="-4"/>
          <w:sz w:val="28"/>
          <w:szCs w:val="28"/>
          <w:lang w:val="sq-AL"/>
        </w:rPr>
      </w:pPr>
    </w:p>
    <w:p w:rsidR="00135745" w:rsidRPr="00C03A20" w:rsidRDefault="00DF3CB7"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 xml:space="preserve">Neni </w:t>
      </w:r>
      <w:r w:rsidR="00E02AF5" w:rsidRPr="00C03A20">
        <w:rPr>
          <w:rFonts w:ascii="Times New Roman" w:hAnsi="Times New Roman"/>
          <w:spacing w:val="-4"/>
          <w:sz w:val="28"/>
          <w:szCs w:val="28"/>
          <w:lang w:val="sq-AL"/>
        </w:rPr>
        <w:t>36,</w:t>
      </w:r>
      <w:r w:rsidR="00AD5C1A" w:rsidRPr="00C03A20">
        <w:rPr>
          <w:rFonts w:ascii="Times New Roman" w:hAnsi="Times New Roman"/>
          <w:spacing w:val="-4"/>
          <w:sz w:val="28"/>
          <w:szCs w:val="28"/>
          <w:lang w:val="sq-AL"/>
        </w:rPr>
        <w:t xml:space="preserve"> i projektligjit</w:t>
      </w:r>
      <w:r w:rsidRPr="00C03A20">
        <w:rPr>
          <w:rFonts w:ascii="Times New Roman" w:hAnsi="Times New Roman"/>
          <w:spacing w:val="-4"/>
          <w:sz w:val="28"/>
          <w:szCs w:val="28"/>
          <w:lang w:val="sq-AL"/>
        </w:rPr>
        <w:t xml:space="preserve"> parashikon </w:t>
      </w:r>
      <w:r w:rsidR="00621FB8" w:rsidRPr="00C03A20">
        <w:rPr>
          <w:rFonts w:ascii="Times New Roman" w:hAnsi="Times New Roman"/>
          <w:spacing w:val="-4"/>
          <w:sz w:val="28"/>
          <w:szCs w:val="28"/>
          <w:lang w:val="sq-AL"/>
        </w:rPr>
        <w:t>k</w:t>
      </w:r>
      <w:r w:rsidR="008D12E2" w:rsidRPr="00C03A20">
        <w:rPr>
          <w:rFonts w:ascii="Times New Roman" w:hAnsi="Times New Roman"/>
          <w:spacing w:val="-4"/>
          <w:sz w:val="28"/>
          <w:szCs w:val="28"/>
          <w:lang w:val="sq-AL"/>
        </w:rPr>
        <w:t>ë</w:t>
      </w:r>
      <w:r w:rsidR="00621FB8" w:rsidRPr="00C03A20">
        <w:rPr>
          <w:rFonts w:ascii="Times New Roman" w:hAnsi="Times New Roman"/>
          <w:spacing w:val="-4"/>
          <w:sz w:val="28"/>
          <w:szCs w:val="28"/>
          <w:lang w:val="sq-AL"/>
        </w:rPr>
        <w:t>rkesat e nevojshme p</w:t>
      </w:r>
      <w:r w:rsidR="008D12E2" w:rsidRPr="00C03A20">
        <w:rPr>
          <w:rFonts w:ascii="Times New Roman" w:hAnsi="Times New Roman"/>
          <w:spacing w:val="-4"/>
          <w:sz w:val="28"/>
          <w:szCs w:val="28"/>
          <w:lang w:val="sq-AL"/>
        </w:rPr>
        <w:t>ë</w:t>
      </w:r>
      <w:r w:rsidR="00621FB8" w:rsidRPr="00C03A20">
        <w:rPr>
          <w:rFonts w:ascii="Times New Roman" w:hAnsi="Times New Roman"/>
          <w:spacing w:val="-4"/>
          <w:sz w:val="28"/>
          <w:szCs w:val="28"/>
          <w:lang w:val="sq-AL"/>
        </w:rPr>
        <w:t>r paraqitjen e k</w:t>
      </w:r>
      <w:r w:rsidR="008D12E2" w:rsidRPr="00C03A20">
        <w:rPr>
          <w:rFonts w:ascii="Times New Roman" w:hAnsi="Times New Roman"/>
          <w:spacing w:val="-4"/>
          <w:sz w:val="28"/>
          <w:szCs w:val="28"/>
          <w:lang w:val="sq-AL"/>
        </w:rPr>
        <w:t>ë</w:t>
      </w:r>
      <w:r w:rsidR="00621FB8" w:rsidRPr="00C03A20">
        <w:rPr>
          <w:rFonts w:ascii="Times New Roman" w:hAnsi="Times New Roman"/>
          <w:spacing w:val="-4"/>
          <w:sz w:val="28"/>
          <w:szCs w:val="28"/>
          <w:lang w:val="sq-AL"/>
        </w:rPr>
        <w:t>rkes</w:t>
      </w:r>
      <w:r w:rsidR="008D12E2" w:rsidRPr="00C03A20">
        <w:rPr>
          <w:rFonts w:ascii="Times New Roman" w:hAnsi="Times New Roman"/>
          <w:spacing w:val="-4"/>
          <w:sz w:val="28"/>
          <w:szCs w:val="28"/>
          <w:lang w:val="sq-AL"/>
        </w:rPr>
        <w:t>ë</w:t>
      </w:r>
      <w:r w:rsidR="00621FB8" w:rsidRPr="00C03A20">
        <w:rPr>
          <w:rFonts w:ascii="Times New Roman" w:hAnsi="Times New Roman"/>
          <w:spacing w:val="-4"/>
          <w:sz w:val="28"/>
          <w:szCs w:val="28"/>
          <w:lang w:val="sq-AL"/>
        </w:rPr>
        <w:t>padis</w:t>
      </w:r>
      <w:r w:rsidR="008D12E2" w:rsidRPr="00C03A20">
        <w:rPr>
          <w:rFonts w:ascii="Times New Roman" w:hAnsi="Times New Roman"/>
          <w:spacing w:val="-4"/>
          <w:sz w:val="28"/>
          <w:szCs w:val="28"/>
          <w:lang w:val="sq-AL"/>
        </w:rPr>
        <w:t>ë</w:t>
      </w:r>
      <w:r w:rsidR="00621FB8" w:rsidRPr="00C03A20">
        <w:rPr>
          <w:rFonts w:ascii="Times New Roman" w:hAnsi="Times New Roman"/>
          <w:spacing w:val="-4"/>
          <w:sz w:val="28"/>
          <w:szCs w:val="28"/>
          <w:lang w:val="sq-AL"/>
        </w:rPr>
        <w:t xml:space="preserve"> </w:t>
      </w:r>
      <w:r w:rsidR="00783463" w:rsidRPr="00C03A20">
        <w:rPr>
          <w:rFonts w:ascii="Times New Roman" w:hAnsi="Times New Roman"/>
          <w:spacing w:val="-4"/>
          <w:sz w:val="28"/>
          <w:szCs w:val="28"/>
          <w:lang w:val="sq-AL"/>
        </w:rPr>
        <w:t>nga padit</w:t>
      </w:r>
      <w:r w:rsidR="008D12E2" w:rsidRPr="00C03A20">
        <w:rPr>
          <w:rFonts w:ascii="Times New Roman" w:hAnsi="Times New Roman"/>
          <w:spacing w:val="-4"/>
          <w:sz w:val="28"/>
          <w:szCs w:val="28"/>
          <w:lang w:val="sq-AL"/>
        </w:rPr>
        <w:t>ë</w:t>
      </w:r>
      <w:r w:rsidR="00783463" w:rsidRPr="00C03A20">
        <w:rPr>
          <w:rFonts w:ascii="Times New Roman" w:hAnsi="Times New Roman"/>
          <w:spacing w:val="-4"/>
          <w:sz w:val="28"/>
          <w:szCs w:val="28"/>
          <w:lang w:val="sq-AL"/>
        </w:rPr>
        <w:t>si si dhe t</w:t>
      </w:r>
      <w:r w:rsidR="008D12E2" w:rsidRPr="00C03A20">
        <w:rPr>
          <w:rFonts w:ascii="Times New Roman" w:hAnsi="Times New Roman"/>
          <w:spacing w:val="-4"/>
          <w:sz w:val="28"/>
          <w:szCs w:val="28"/>
          <w:lang w:val="sq-AL"/>
        </w:rPr>
        <w:t>ë</w:t>
      </w:r>
      <w:r w:rsidR="00783463" w:rsidRPr="00C03A20">
        <w:rPr>
          <w:rFonts w:ascii="Times New Roman" w:hAnsi="Times New Roman"/>
          <w:spacing w:val="-4"/>
          <w:sz w:val="28"/>
          <w:szCs w:val="28"/>
          <w:lang w:val="sq-AL"/>
        </w:rPr>
        <w:t xml:space="preserve"> deklarat</w:t>
      </w:r>
      <w:r w:rsidR="008D12E2" w:rsidRPr="00C03A20">
        <w:rPr>
          <w:rFonts w:ascii="Times New Roman" w:hAnsi="Times New Roman"/>
          <w:spacing w:val="-4"/>
          <w:sz w:val="28"/>
          <w:szCs w:val="28"/>
          <w:lang w:val="sq-AL"/>
        </w:rPr>
        <w:t>ë</w:t>
      </w:r>
      <w:r w:rsidR="00783463" w:rsidRPr="00C03A20">
        <w:rPr>
          <w:rFonts w:ascii="Times New Roman" w:hAnsi="Times New Roman"/>
          <w:spacing w:val="-4"/>
          <w:sz w:val="28"/>
          <w:szCs w:val="28"/>
          <w:lang w:val="sq-AL"/>
        </w:rPr>
        <w:t>s s</w:t>
      </w:r>
      <w:r w:rsidR="008D12E2" w:rsidRPr="00C03A20">
        <w:rPr>
          <w:rFonts w:ascii="Times New Roman" w:hAnsi="Times New Roman"/>
          <w:spacing w:val="-4"/>
          <w:sz w:val="28"/>
          <w:szCs w:val="28"/>
          <w:lang w:val="sq-AL"/>
        </w:rPr>
        <w:t>ë</w:t>
      </w:r>
      <w:r w:rsidR="00783463" w:rsidRPr="00C03A20">
        <w:rPr>
          <w:rFonts w:ascii="Times New Roman" w:hAnsi="Times New Roman"/>
          <w:spacing w:val="-4"/>
          <w:sz w:val="28"/>
          <w:szCs w:val="28"/>
          <w:lang w:val="sq-AL"/>
        </w:rPr>
        <w:t xml:space="preserve"> mbrojtjes nga </w:t>
      </w:r>
      <w:r w:rsidR="001D54A8" w:rsidRPr="00C03A20">
        <w:rPr>
          <w:rFonts w:ascii="Times New Roman" w:hAnsi="Times New Roman"/>
          <w:spacing w:val="-4"/>
          <w:sz w:val="28"/>
          <w:szCs w:val="28"/>
          <w:lang w:val="sq-AL"/>
        </w:rPr>
        <w:t>pala e paditur</w:t>
      </w:r>
      <w:r w:rsidR="00CA5A51" w:rsidRPr="00C03A20">
        <w:rPr>
          <w:rFonts w:ascii="Times New Roman" w:hAnsi="Times New Roman"/>
          <w:spacing w:val="-4"/>
          <w:sz w:val="28"/>
          <w:szCs w:val="28"/>
          <w:lang w:val="sq-AL"/>
        </w:rPr>
        <w:t>, t</w:t>
      </w:r>
      <w:r w:rsidR="008D12E2" w:rsidRPr="00C03A20">
        <w:rPr>
          <w:rFonts w:ascii="Times New Roman" w:hAnsi="Times New Roman"/>
          <w:spacing w:val="-4"/>
          <w:sz w:val="28"/>
          <w:szCs w:val="28"/>
          <w:lang w:val="sq-AL"/>
        </w:rPr>
        <w:t>ë</w:t>
      </w:r>
      <w:r w:rsidR="00CA5A51" w:rsidRPr="00C03A20">
        <w:rPr>
          <w:rFonts w:ascii="Times New Roman" w:hAnsi="Times New Roman"/>
          <w:spacing w:val="-4"/>
          <w:sz w:val="28"/>
          <w:szCs w:val="28"/>
          <w:lang w:val="sq-AL"/>
        </w:rPr>
        <w:t xml:space="preserve"> cilat </w:t>
      </w:r>
      <w:r w:rsidR="00CE05F2" w:rsidRPr="00C03A20">
        <w:rPr>
          <w:rFonts w:ascii="Times New Roman" w:hAnsi="Times New Roman"/>
          <w:spacing w:val="-4"/>
          <w:sz w:val="28"/>
          <w:szCs w:val="28"/>
          <w:lang w:val="sq-AL"/>
        </w:rPr>
        <w:t>implementojnë</w:t>
      </w:r>
      <w:r w:rsidR="00CA5A51" w:rsidRPr="00C03A20">
        <w:rPr>
          <w:rFonts w:ascii="Times New Roman" w:hAnsi="Times New Roman"/>
          <w:spacing w:val="-4"/>
          <w:sz w:val="28"/>
          <w:szCs w:val="28"/>
          <w:lang w:val="sq-AL"/>
        </w:rPr>
        <w:t xml:space="preserve"> parashikimet e </w:t>
      </w:r>
      <w:r w:rsidR="00D85331" w:rsidRPr="00C03A20">
        <w:rPr>
          <w:rFonts w:ascii="Times New Roman" w:hAnsi="Times New Roman"/>
          <w:spacing w:val="-4"/>
          <w:sz w:val="28"/>
          <w:szCs w:val="28"/>
          <w:lang w:val="sq-AL"/>
        </w:rPr>
        <w:t xml:space="preserve">nenit 23 </w:t>
      </w:r>
      <w:r w:rsidR="003C6FC8" w:rsidRPr="00C03A20">
        <w:rPr>
          <w:rFonts w:ascii="Times New Roman" w:hAnsi="Times New Roman"/>
          <w:spacing w:val="-4"/>
          <w:sz w:val="28"/>
          <w:szCs w:val="28"/>
          <w:lang w:val="sq-AL"/>
        </w:rPr>
        <w:t>t</w:t>
      </w:r>
      <w:r w:rsidR="008D12E2" w:rsidRPr="00C03A20">
        <w:rPr>
          <w:rFonts w:ascii="Times New Roman" w:hAnsi="Times New Roman"/>
          <w:spacing w:val="-4"/>
          <w:sz w:val="28"/>
          <w:szCs w:val="28"/>
          <w:lang w:val="sq-AL"/>
        </w:rPr>
        <w:t>ë</w:t>
      </w:r>
      <w:r w:rsidR="003C6FC8" w:rsidRPr="00C03A20">
        <w:rPr>
          <w:rFonts w:ascii="Times New Roman" w:hAnsi="Times New Roman"/>
          <w:spacing w:val="-4"/>
          <w:sz w:val="28"/>
          <w:szCs w:val="28"/>
          <w:lang w:val="sq-AL"/>
        </w:rPr>
        <w:t xml:space="preserve"> ligjit model UNCITRAL </w:t>
      </w:r>
      <w:r w:rsidR="00B836CB" w:rsidRPr="00C03A20">
        <w:rPr>
          <w:rFonts w:ascii="Times New Roman" w:hAnsi="Times New Roman"/>
          <w:spacing w:val="-4"/>
          <w:sz w:val="28"/>
          <w:szCs w:val="28"/>
          <w:lang w:val="sq-AL"/>
        </w:rPr>
        <w:t xml:space="preserve">por </w:t>
      </w:r>
      <w:r w:rsidR="00F97FD6" w:rsidRPr="00C03A20">
        <w:rPr>
          <w:rFonts w:ascii="Times New Roman" w:hAnsi="Times New Roman"/>
          <w:spacing w:val="-4"/>
          <w:sz w:val="28"/>
          <w:szCs w:val="28"/>
          <w:lang w:val="sq-AL"/>
        </w:rPr>
        <w:t>paralelisht kan</w:t>
      </w:r>
      <w:r w:rsidR="008D12E2" w:rsidRPr="00C03A20">
        <w:rPr>
          <w:rFonts w:ascii="Times New Roman" w:hAnsi="Times New Roman"/>
          <w:spacing w:val="-4"/>
          <w:sz w:val="28"/>
          <w:szCs w:val="28"/>
          <w:lang w:val="sq-AL"/>
        </w:rPr>
        <w:t>ë</w:t>
      </w:r>
      <w:r w:rsidR="00F97FD6" w:rsidRPr="00C03A20">
        <w:rPr>
          <w:rFonts w:ascii="Times New Roman" w:hAnsi="Times New Roman"/>
          <w:spacing w:val="-4"/>
          <w:sz w:val="28"/>
          <w:szCs w:val="28"/>
          <w:lang w:val="sq-AL"/>
        </w:rPr>
        <w:t xml:space="preserve"> p</w:t>
      </w:r>
      <w:r w:rsidR="008D12E2" w:rsidRPr="00C03A20">
        <w:rPr>
          <w:rFonts w:ascii="Times New Roman" w:hAnsi="Times New Roman"/>
          <w:spacing w:val="-4"/>
          <w:sz w:val="28"/>
          <w:szCs w:val="28"/>
          <w:lang w:val="sq-AL"/>
        </w:rPr>
        <w:t>ë</w:t>
      </w:r>
      <w:r w:rsidR="00F97FD6" w:rsidRPr="00C03A20">
        <w:rPr>
          <w:rFonts w:ascii="Times New Roman" w:hAnsi="Times New Roman"/>
          <w:spacing w:val="-4"/>
          <w:sz w:val="28"/>
          <w:szCs w:val="28"/>
          <w:lang w:val="sq-AL"/>
        </w:rPr>
        <w:t xml:space="preserve">rshtatur parashikimet </w:t>
      </w:r>
      <w:r w:rsidR="008F481F" w:rsidRPr="00C03A20">
        <w:rPr>
          <w:rFonts w:ascii="Times New Roman" w:hAnsi="Times New Roman"/>
          <w:spacing w:val="-4"/>
          <w:sz w:val="28"/>
          <w:szCs w:val="28"/>
          <w:lang w:val="sq-AL"/>
        </w:rPr>
        <w:t xml:space="preserve">e </w:t>
      </w:r>
      <w:r w:rsidR="00291F26" w:rsidRPr="00C03A20">
        <w:rPr>
          <w:rFonts w:ascii="Times New Roman" w:hAnsi="Times New Roman"/>
          <w:spacing w:val="-4"/>
          <w:sz w:val="28"/>
          <w:szCs w:val="28"/>
          <w:lang w:val="sq-AL"/>
        </w:rPr>
        <w:t xml:space="preserve">nenit 154 dhe nenit </w:t>
      </w:r>
      <w:r w:rsidR="00022361" w:rsidRPr="00C03A20">
        <w:rPr>
          <w:rFonts w:ascii="Times New Roman" w:hAnsi="Times New Roman"/>
          <w:spacing w:val="-4"/>
          <w:sz w:val="28"/>
          <w:szCs w:val="28"/>
          <w:lang w:val="sq-AL"/>
        </w:rPr>
        <w:t>158, pika 3, t</w:t>
      </w:r>
      <w:r w:rsidR="008D12E2" w:rsidRPr="00C03A20">
        <w:rPr>
          <w:rFonts w:ascii="Times New Roman" w:hAnsi="Times New Roman"/>
          <w:spacing w:val="-4"/>
          <w:sz w:val="28"/>
          <w:szCs w:val="28"/>
          <w:lang w:val="sq-AL"/>
        </w:rPr>
        <w:t>ë</w:t>
      </w:r>
      <w:r w:rsidR="00022361" w:rsidRPr="00C03A20">
        <w:rPr>
          <w:rFonts w:ascii="Times New Roman" w:hAnsi="Times New Roman"/>
          <w:spacing w:val="-4"/>
          <w:sz w:val="28"/>
          <w:szCs w:val="28"/>
          <w:lang w:val="sq-AL"/>
        </w:rPr>
        <w:t xml:space="preserve"> Kodit t</w:t>
      </w:r>
      <w:r w:rsidR="008D12E2" w:rsidRPr="00C03A20">
        <w:rPr>
          <w:rFonts w:ascii="Times New Roman" w:hAnsi="Times New Roman"/>
          <w:spacing w:val="-4"/>
          <w:sz w:val="28"/>
          <w:szCs w:val="28"/>
          <w:lang w:val="sq-AL"/>
        </w:rPr>
        <w:t>ë</w:t>
      </w:r>
      <w:r w:rsidR="00022361" w:rsidRPr="00C03A20">
        <w:rPr>
          <w:rFonts w:ascii="Times New Roman" w:hAnsi="Times New Roman"/>
          <w:spacing w:val="-4"/>
          <w:sz w:val="28"/>
          <w:szCs w:val="28"/>
          <w:lang w:val="sq-AL"/>
        </w:rPr>
        <w:t xml:space="preserve"> Procedur</w:t>
      </w:r>
      <w:r w:rsidR="008D12E2" w:rsidRPr="00C03A20">
        <w:rPr>
          <w:rFonts w:ascii="Times New Roman" w:hAnsi="Times New Roman"/>
          <w:spacing w:val="-4"/>
          <w:sz w:val="28"/>
          <w:szCs w:val="28"/>
          <w:lang w:val="sq-AL"/>
        </w:rPr>
        <w:t>ë</w:t>
      </w:r>
      <w:r w:rsidR="00022361" w:rsidRPr="00C03A20">
        <w:rPr>
          <w:rFonts w:ascii="Times New Roman" w:hAnsi="Times New Roman"/>
          <w:spacing w:val="-4"/>
          <w:sz w:val="28"/>
          <w:szCs w:val="28"/>
          <w:lang w:val="sq-AL"/>
        </w:rPr>
        <w:t>s Civile</w:t>
      </w:r>
      <w:r w:rsidR="0016450F" w:rsidRPr="00C03A20">
        <w:rPr>
          <w:rFonts w:ascii="Times New Roman" w:hAnsi="Times New Roman"/>
          <w:spacing w:val="-4"/>
          <w:sz w:val="28"/>
          <w:szCs w:val="28"/>
          <w:lang w:val="sq-AL"/>
        </w:rPr>
        <w:t>,</w:t>
      </w:r>
      <w:r w:rsidR="00B531AB" w:rsidRPr="00C03A20">
        <w:rPr>
          <w:rFonts w:ascii="Times New Roman" w:hAnsi="Times New Roman"/>
          <w:spacing w:val="-4"/>
          <w:sz w:val="28"/>
          <w:szCs w:val="28"/>
          <w:lang w:val="sq-AL"/>
        </w:rPr>
        <w:t xml:space="preserve"> t</w:t>
      </w:r>
      <w:r w:rsidR="008D12E2" w:rsidRPr="00C03A20">
        <w:rPr>
          <w:rFonts w:ascii="Times New Roman" w:hAnsi="Times New Roman"/>
          <w:spacing w:val="-4"/>
          <w:sz w:val="28"/>
          <w:szCs w:val="28"/>
          <w:lang w:val="sq-AL"/>
        </w:rPr>
        <w:t>ë</w:t>
      </w:r>
      <w:r w:rsidR="00B531AB" w:rsidRPr="00C03A20">
        <w:rPr>
          <w:rFonts w:ascii="Times New Roman" w:hAnsi="Times New Roman"/>
          <w:spacing w:val="-4"/>
          <w:sz w:val="28"/>
          <w:szCs w:val="28"/>
          <w:lang w:val="sq-AL"/>
        </w:rPr>
        <w:t xml:space="preserve"> cilat rregullojn</w:t>
      </w:r>
      <w:r w:rsidR="008D12E2" w:rsidRPr="00C03A20">
        <w:rPr>
          <w:rFonts w:ascii="Times New Roman" w:hAnsi="Times New Roman"/>
          <w:spacing w:val="-4"/>
          <w:sz w:val="28"/>
          <w:szCs w:val="28"/>
          <w:lang w:val="sq-AL"/>
        </w:rPr>
        <w:t>ë</w:t>
      </w:r>
      <w:r w:rsidR="00B531AB" w:rsidRPr="00C03A20">
        <w:rPr>
          <w:rFonts w:ascii="Times New Roman" w:hAnsi="Times New Roman"/>
          <w:spacing w:val="-4"/>
          <w:sz w:val="28"/>
          <w:szCs w:val="28"/>
          <w:lang w:val="sq-AL"/>
        </w:rPr>
        <w:t xml:space="preserve"> </w:t>
      </w:r>
      <w:r w:rsidR="00733D32" w:rsidRPr="00C03A20">
        <w:rPr>
          <w:rFonts w:ascii="Times New Roman" w:hAnsi="Times New Roman"/>
          <w:spacing w:val="-4"/>
          <w:sz w:val="28"/>
          <w:szCs w:val="28"/>
          <w:lang w:val="sq-AL"/>
        </w:rPr>
        <w:t>p</w:t>
      </w:r>
      <w:r w:rsidR="008D12E2" w:rsidRPr="00C03A20">
        <w:rPr>
          <w:rFonts w:ascii="Times New Roman" w:hAnsi="Times New Roman"/>
          <w:spacing w:val="-4"/>
          <w:sz w:val="28"/>
          <w:szCs w:val="28"/>
          <w:lang w:val="sq-AL"/>
        </w:rPr>
        <w:t>ë</w:t>
      </w:r>
      <w:r w:rsidR="00733D32" w:rsidRPr="00C03A20">
        <w:rPr>
          <w:rFonts w:ascii="Times New Roman" w:hAnsi="Times New Roman"/>
          <w:spacing w:val="-4"/>
          <w:sz w:val="28"/>
          <w:szCs w:val="28"/>
          <w:lang w:val="sq-AL"/>
        </w:rPr>
        <w:t>rmbajtjen e k</w:t>
      </w:r>
      <w:r w:rsidR="008D12E2" w:rsidRPr="00C03A20">
        <w:rPr>
          <w:rFonts w:ascii="Times New Roman" w:hAnsi="Times New Roman"/>
          <w:spacing w:val="-4"/>
          <w:sz w:val="28"/>
          <w:szCs w:val="28"/>
          <w:lang w:val="sq-AL"/>
        </w:rPr>
        <w:t>ë</w:t>
      </w:r>
      <w:r w:rsidR="00733D32" w:rsidRPr="00C03A20">
        <w:rPr>
          <w:rFonts w:ascii="Times New Roman" w:hAnsi="Times New Roman"/>
          <w:spacing w:val="-4"/>
          <w:sz w:val="28"/>
          <w:szCs w:val="28"/>
          <w:lang w:val="sq-AL"/>
        </w:rPr>
        <w:t>rkes</w:t>
      </w:r>
      <w:r w:rsidR="008D12E2" w:rsidRPr="00C03A20">
        <w:rPr>
          <w:rFonts w:ascii="Times New Roman" w:hAnsi="Times New Roman"/>
          <w:spacing w:val="-4"/>
          <w:sz w:val="28"/>
          <w:szCs w:val="28"/>
          <w:lang w:val="sq-AL"/>
        </w:rPr>
        <w:t>ë</w:t>
      </w:r>
      <w:r w:rsidR="00733D32" w:rsidRPr="00C03A20">
        <w:rPr>
          <w:rFonts w:ascii="Times New Roman" w:hAnsi="Times New Roman"/>
          <w:spacing w:val="-4"/>
          <w:sz w:val="28"/>
          <w:szCs w:val="28"/>
          <w:lang w:val="sq-AL"/>
        </w:rPr>
        <w:t>padis</w:t>
      </w:r>
      <w:r w:rsidR="008D12E2" w:rsidRPr="00C03A20">
        <w:rPr>
          <w:rFonts w:ascii="Times New Roman" w:hAnsi="Times New Roman"/>
          <w:spacing w:val="-4"/>
          <w:sz w:val="28"/>
          <w:szCs w:val="28"/>
          <w:lang w:val="sq-AL"/>
        </w:rPr>
        <w:t>ë</w:t>
      </w:r>
      <w:r w:rsidR="00733D32" w:rsidRPr="00C03A20">
        <w:rPr>
          <w:rFonts w:ascii="Times New Roman" w:hAnsi="Times New Roman"/>
          <w:spacing w:val="-4"/>
          <w:sz w:val="28"/>
          <w:szCs w:val="28"/>
          <w:lang w:val="sq-AL"/>
        </w:rPr>
        <w:t xml:space="preserve"> dhe t</w:t>
      </w:r>
      <w:r w:rsidR="008D12E2" w:rsidRPr="00C03A20">
        <w:rPr>
          <w:rFonts w:ascii="Times New Roman" w:hAnsi="Times New Roman"/>
          <w:spacing w:val="-4"/>
          <w:sz w:val="28"/>
          <w:szCs w:val="28"/>
          <w:lang w:val="sq-AL"/>
        </w:rPr>
        <w:t>ë</w:t>
      </w:r>
      <w:r w:rsidR="00733D32" w:rsidRPr="00C03A20">
        <w:rPr>
          <w:rFonts w:ascii="Times New Roman" w:hAnsi="Times New Roman"/>
          <w:spacing w:val="-4"/>
          <w:sz w:val="28"/>
          <w:szCs w:val="28"/>
          <w:lang w:val="sq-AL"/>
        </w:rPr>
        <w:t xml:space="preserve"> deklarat</w:t>
      </w:r>
      <w:r w:rsidR="008D12E2" w:rsidRPr="00C03A20">
        <w:rPr>
          <w:rFonts w:ascii="Times New Roman" w:hAnsi="Times New Roman"/>
          <w:spacing w:val="-4"/>
          <w:sz w:val="28"/>
          <w:szCs w:val="28"/>
          <w:lang w:val="sq-AL"/>
        </w:rPr>
        <w:t>ë</w:t>
      </w:r>
      <w:r w:rsidR="00733D32" w:rsidRPr="00C03A20">
        <w:rPr>
          <w:rFonts w:ascii="Times New Roman" w:hAnsi="Times New Roman"/>
          <w:spacing w:val="-4"/>
          <w:sz w:val="28"/>
          <w:szCs w:val="28"/>
          <w:lang w:val="sq-AL"/>
        </w:rPr>
        <w:t>s s</w:t>
      </w:r>
      <w:r w:rsidR="008D12E2" w:rsidRPr="00C03A20">
        <w:rPr>
          <w:rFonts w:ascii="Times New Roman" w:hAnsi="Times New Roman"/>
          <w:spacing w:val="-4"/>
          <w:sz w:val="28"/>
          <w:szCs w:val="28"/>
          <w:lang w:val="sq-AL"/>
        </w:rPr>
        <w:t>ë</w:t>
      </w:r>
      <w:r w:rsidR="00733D32" w:rsidRPr="00C03A20">
        <w:rPr>
          <w:rFonts w:ascii="Times New Roman" w:hAnsi="Times New Roman"/>
          <w:spacing w:val="-4"/>
          <w:sz w:val="28"/>
          <w:szCs w:val="28"/>
          <w:lang w:val="sq-AL"/>
        </w:rPr>
        <w:t xml:space="preserve"> mbrojtjes </w:t>
      </w:r>
      <w:r w:rsidR="00FA76B4" w:rsidRPr="00C03A20">
        <w:rPr>
          <w:rFonts w:ascii="Times New Roman" w:hAnsi="Times New Roman"/>
          <w:spacing w:val="-4"/>
          <w:sz w:val="28"/>
          <w:szCs w:val="28"/>
          <w:lang w:val="sq-AL"/>
        </w:rPr>
        <w:t>n</w:t>
      </w:r>
      <w:r w:rsidR="008D12E2" w:rsidRPr="00C03A20">
        <w:rPr>
          <w:rFonts w:ascii="Times New Roman" w:hAnsi="Times New Roman"/>
          <w:spacing w:val="-4"/>
          <w:sz w:val="28"/>
          <w:szCs w:val="28"/>
          <w:lang w:val="sq-AL"/>
        </w:rPr>
        <w:t>ë</w:t>
      </w:r>
      <w:r w:rsidR="00FA76B4" w:rsidRPr="00C03A20">
        <w:rPr>
          <w:rFonts w:ascii="Times New Roman" w:hAnsi="Times New Roman"/>
          <w:spacing w:val="-4"/>
          <w:sz w:val="28"/>
          <w:szCs w:val="28"/>
          <w:lang w:val="sq-AL"/>
        </w:rPr>
        <w:t xml:space="preserve"> procesin civil. </w:t>
      </w:r>
    </w:p>
    <w:p w:rsidR="00135745" w:rsidRPr="00C03A20" w:rsidRDefault="00135745" w:rsidP="00C03A20">
      <w:pPr>
        <w:spacing w:after="0"/>
        <w:jc w:val="both"/>
        <w:rPr>
          <w:rFonts w:ascii="Times New Roman" w:hAnsi="Times New Roman"/>
          <w:spacing w:val="-4"/>
          <w:sz w:val="28"/>
          <w:szCs w:val="28"/>
          <w:lang w:val="sq-AL"/>
        </w:rPr>
      </w:pPr>
    </w:p>
    <w:p w:rsidR="00135745" w:rsidRPr="00C03A20" w:rsidRDefault="00987288"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 xml:space="preserve">Neni </w:t>
      </w:r>
      <w:r w:rsidR="00BF0684" w:rsidRPr="00C03A20">
        <w:rPr>
          <w:rFonts w:ascii="Times New Roman" w:hAnsi="Times New Roman"/>
          <w:spacing w:val="-4"/>
          <w:sz w:val="28"/>
          <w:szCs w:val="28"/>
          <w:lang w:val="sq-AL"/>
        </w:rPr>
        <w:t>39,</w:t>
      </w:r>
      <w:r w:rsidRPr="00C03A20">
        <w:rPr>
          <w:rFonts w:ascii="Times New Roman" w:hAnsi="Times New Roman"/>
          <w:spacing w:val="-4"/>
          <w:sz w:val="28"/>
          <w:szCs w:val="28"/>
          <w:lang w:val="sq-AL"/>
        </w:rPr>
        <w:t xml:space="preserve"> i projektligjit </w:t>
      </w:r>
      <w:r w:rsidR="001317AE" w:rsidRPr="00C03A20">
        <w:rPr>
          <w:rFonts w:ascii="Times New Roman" w:hAnsi="Times New Roman"/>
          <w:spacing w:val="-4"/>
          <w:sz w:val="28"/>
          <w:szCs w:val="28"/>
          <w:lang w:val="sq-AL"/>
        </w:rPr>
        <w:t>rregullon thirrjen e d</w:t>
      </w:r>
      <w:r w:rsidR="008D12E2" w:rsidRPr="00C03A20">
        <w:rPr>
          <w:rFonts w:ascii="Times New Roman" w:hAnsi="Times New Roman"/>
          <w:spacing w:val="-4"/>
          <w:sz w:val="28"/>
          <w:szCs w:val="28"/>
          <w:lang w:val="sq-AL"/>
        </w:rPr>
        <w:t>ë</w:t>
      </w:r>
      <w:r w:rsidR="001317AE" w:rsidRPr="00C03A20">
        <w:rPr>
          <w:rFonts w:ascii="Times New Roman" w:hAnsi="Times New Roman"/>
          <w:spacing w:val="-4"/>
          <w:sz w:val="28"/>
          <w:szCs w:val="28"/>
          <w:lang w:val="sq-AL"/>
        </w:rPr>
        <w:t>shmitar</w:t>
      </w:r>
      <w:r w:rsidR="008D12E2" w:rsidRPr="00C03A20">
        <w:rPr>
          <w:rFonts w:ascii="Times New Roman" w:hAnsi="Times New Roman"/>
          <w:spacing w:val="-4"/>
          <w:sz w:val="28"/>
          <w:szCs w:val="28"/>
          <w:lang w:val="sq-AL"/>
        </w:rPr>
        <w:t>ë</w:t>
      </w:r>
      <w:r w:rsidR="001317AE" w:rsidRPr="00C03A20">
        <w:rPr>
          <w:rFonts w:ascii="Times New Roman" w:hAnsi="Times New Roman"/>
          <w:spacing w:val="-4"/>
          <w:sz w:val="28"/>
          <w:szCs w:val="28"/>
          <w:lang w:val="sq-AL"/>
        </w:rPr>
        <w:t xml:space="preserve">ve </w:t>
      </w:r>
      <w:r w:rsidR="00E91F44" w:rsidRPr="00C03A20">
        <w:rPr>
          <w:rFonts w:ascii="Times New Roman" w:hAnsi="Times New Roman"/>
          <w:spacing w:val="-4"/>
          <w:sz w:val="28"/>
          <w:szCs w:val="28"/>
          <w:lang w:val="sq-AL"/>
        </w:rPr>
        <w:t>gjat</w:t>
      </w:r>
      <w:r w:rsidR="008D12E2" w:rsidRPr="00C03A20">
        <w:rPr>
          <w:rFonts w:ascii="Times New Roman" w:hAnsi="Times New Roman"/>
          <w:spacing w:val="-4"/>
          <w:sz w:val="28"/>
          <w:szCs w:val="28"/>
          <w:lang w:val="sq-AL"/>
        </w:rPr>
        <w:t>ë</w:t>
      </w:r>
      <w:r w:rsidR="00E91F44" w:rsidRPr="00C03A20">
        <w:rPr>
          <w:rFonts w:ascii="Times New Roman" w:hAnsi="Times New Roman"/>
          <w:spacing w:val="-4"/>
          <w:sz w:val="28"/>
          <w:szCs w:val="28"/>
          <w:lang w:val="sq-AL"/>
        </w:rPr>
        <w:t xml:space="preserve"> zhvillimit t</w:t>
      </w:r>
      <w:r w:rsidR="008D12E2" w:rsidRPr="00C03A20">
        <w:rPr>
          <w:rFonts w:ascii="Times New Roman" w:hAnsi="Times New Roman"/>
          <w:spacing w:val="-4"/>
          <w:sz w:val="28"/>
          <w:szCs w:val="28"/>
          <w:lang w:val="sq-AL"/>
        </w:rPr>
        <w:t>ë</w:t>
      </w:r>
      <w:r w:rsidR="00E91F44" w:rsidRPr="00C03A20">
        <w:rPr>
          <w:rFonts w:ascii="Times New Roman" w:hAnsi="Times New Roman"/>
          <w:spacing w:val="-4"/>
          <w:sz w:val="28"/>
          <w:szCs w:val="28"/>
          <w:lang w:val="sq-AL"/>
        </w:rPr>
        <w:t xml:space="preserve"> seancave </w:t>
      </w:r>
      <w:r w:rsidR="00191CA9" w:rsidRPr="00C03A20">
        <w:rPr>
          <w:rFonts w:ascii="Times New Roman" w:hAnsi="Times New Roman"/>
          <w:spacing w:val="-4"/>
          <w:sz w:val="28"/>
          <w:szCs w:val="28"/>
          <w:lang w:val="sq-AL"/>
        </w:rPr>
        <w:t>t</w:t>
      </w:r>
      <w:r w:rsidR="008D12E2" w:rsidRPr="00C03A20">
        <w:rPr>
          <w:rFonts w:ascii="Times New Roman" w:hAnsi="Times New Roman"/>
          <w:spacing w:val="-4"/>
          <w:sz w:val="28"/>
          <w:szCs w:val="28"/>
          <w:lang w:val="sq-AL"/>
        </w:rPr>
        <w:t>ë</w:t>
      </w:r>
      <w:r w:rsidR="00191CA9" w:rsidRPr="00C03A20">
        <w:rPr>
          <w:rFonts w:ascii="Times New Roman" w:hAnsi="Times New Roman"/>
          <w:spacing w:val="-4"/>
          <w:sz w:val="28"/>
          <w:szCs w:val="28"/>
          <w:lang w:val="sq-AL"/>
        </w:rPr>
        <w:t xml:space="preserve"> arbitrazhit, rregullime t</w:t>
      </w:r>
      <w:r w:rsidR="008D12E2" w:rsidRPr="00C03A20">
        <w:rPr>
          <w:rFonts w:ascii="Times New Roman" w:hAnsi="Times New Roman"/>
          <w:spacing w:val="-4"/>
          <w:sz w:val="28"/>
          <w:szCs w:val="28"/>
          <w:lang w:val="sq-AL"/>
        </w:rPr>
        <w:t>ë</w:t>
      </w:r>
      <w:r w:rsidR="00191CA9" w:rsidRPr="00C03A20">
        <w:rPr>
          <w:rFonts w:ascii="Times New Roman" w:hAnsi="Times New Roman"/>
          <w:spacing w:val="-4"/>
          <w:sz w:val="28"/>
          <w:szCs w:val="28"/>
          <w:lang w:val="sq-AL"/>
        </w:rPr>
        <w:t xml:space="preserve"> cilat </w:t>
      </w:r>
      <w:r w:rsidR="004408D0" w:rsidRPr="00C03A20">
        <w:rPr>
          <w:rFonts w:ascii="Times New Roman" w:hAnsi="Times New Roman"/>
          <w:spacing w:val="-4"/>
          <w:sz w:val="28"/>
          <w:szCs w:val="28"/>
          <w:lang w:val="sq-AL"/>
        </w:rPr>
        <w:t>jan</w:t>
      </w:r>
      <w:r w:rsidR="008D12E2" w:rsidRPr="00C03A20">
        <w:rPr>
          <w:rFonts w:ascii="Times New Roman" w:hAnsi="Times New Roman"/>
          <w:spacing w:val="-4"/>
          <w:sz w:val="28"/>
          <w:szCs w:val="28"/>
          <w:lang w:val="sq-AL"/>
        </w:rPr>
        <w:t>ë</w:t>
      </w:r>
      <w:r w:rsidR="004408D0" w:rsidRPr="00C03A20">
        <w:rPr>
          <w:rFonts w:ascii="Times New Roman" w:hAnsi="Times New Roman"/>
          <w:spacing w:val="-4"/>
          <w:sz w:val="28"/>
          <w:szCs w:val="28"/>
          <w:lang w:val="sq-AL"/>
        </w:rPr>
        <w:t xml:space="preserve"> adaptuar nga legjislacioni </w:t>
      </w:r>
      <w:r w:rsidR="009A28C4" w:rsidRPr="00C03A20">
        <w:rPr>
          <w:rFonts w:ascii="Times New Roman" w:hAnsi="Times New Roman"/>
          <w:spacing w:val="-4"/>
          <w:sz w:val="28"/>
          <w:szCs w:val="28"/>
          <w:lang w:val="sq-AL"/>
        </w:rPr>
        <w:t>Kroat p</w:t>
      </w:r>
      <w:r w:rsidR="008D12E2" w:rsidRPr="00C03A20">
        <w:rPr>
          <w:rFonts w:ascii="Times New Roman" w:hAnsi="Times New Roman"/>
          <w:spacing w:val="-4"/>
          <w:sz w:val="28"/>
          <w:szCs w:val="28"/>
          <w:lang w:val="sq-AL"/>
        </w:rPr>
        <w:t>ë</w:t>
      </w:r>
      <w:r w:rsidR="009A28C4" w:rsidRPr="00C03A20">
        <w:rPr>
          <w:rFonts w:ascii="Times New Roman" w:hAnsi="Times New Roman"/>
          <w:spacing w:val="-4"/>
          <w:sz w:val="28"/>
          <w:szCs w:val="28"/>
          <w:lang w:val="sq-AL"/>
        </w:rPr>
        <w:t>r arbitrazhin.</w:t>
      </w:r>
      <w:r w:rsidR="00170277" w:rsidRPr="00C03A20">
        <w:rPr>
          <w:rFonts w:ascii="Times New Roman" w:hAnsi="Times New Roman"/>
          <w:spacing w:val="-4"/>
          <w:sz w:val="28"/>
          <w:szCs w:val="28"/>
          <w:lang w:val="sq-AL"/>
        </w:rPr>
        <w:t xml:space="preserve"> Nd</w:t>
      </w:r>
      <w:r w:rsidR="008D12E2" w:rsidRPr="00C03A20">
        <w:rPr>
          <w:rFonts w:ascii="Times New Roman" w:hAnsi="Times New Roman"/>
          <w:spacing w:val="-4"/>
          <w:sz w:val="28"/>
          <w:szCs w:val="28"/>
          <w:lang w:val="sq-AL"/>
        </w:rPr>
        <w:t>ë</w:t>
      </w:r>
      <w:r w:rsidR="00170277" w:rsidRPr="00C03A20">
        <w:rPr>
          <w:rFonts w:ascii="Times New Roman" w:hAnsi="Times New Roman"/>
          <w:spacing w:val="-4"/>
          <w:sz w:val="28"/>
          <w:szCs w:val="28"/>
          <w:lang w:val="sq-AL"/>
        </w:rPr>
        <w:t>rkoh</w:t>
      </w:r>
      <w:r w:rsidR="008D12E2" w:rsidRPr="00C03A20">
        <w:rPr>
          <w:rFonts w:ascii="Times New Roman" w:hAnsi="Times New Roman"/>
          <w:spacing w:val="-4"/>
          <w:sz w:val="28"/>
          <w:szCs w:val="28"/>
          <w:lang w:val="sq-AL"/>
        </w:rPr>
        <w:t>ë</w:t>
      </w:r>
      <w:r w:rsidR="00170277" w:rsidRPr="00C03A20">
        <w:rPr>
          <w:rFonts w:ascii="Times New Roman" w:hAnsi="Times New Roman"/>
          <w:spacing w:val="-4"/>
          <w:sz w:val="28"/>
          <w:szCs w:val="28"/>
          <w:lang w:val="sq-AL"/>
        </w:rPr>
        <w:t xml:space="preserve">, Neni </w:t>
      </w:r>
      <w:r w:rsidR="00BF0684" w:rsidRPr="00C03A20">
        <w:rPr>
          <w:rFonts w:ascii="Times New Roman" w:hAnsi="Times New Roman"/>
          <w:spacing w:val="-4"/>
          <w:sz w:val="28"/>
          <w:szCs w:val="28"/>
          <w:lang w:val="sq-AL"/>
        </w:rPr>
        <w:t>40,</w:t>
      </w:r>
      <w:r w:rsidR="00170277" w:rsidRPr="00C03A20">
        <w:rPr>
          <w:rFonts w:ascii="Times New Roman" w:hAnsi="Times New Roman"/>
          <w:spacing w:val="-4"/>
          <w:sz w:val="28"/>
          <w:szCs w:val="28"/>
          <w:lang w:val="sq-AL"/>
        </w:rPr>
        <w:t xml:space="preserve"> i projektligjit, i cili rregullon </w:t>
      </w:r>
      <w:r w:rsidR="00C722FF" w:rsidRPr="00C03A20">
        <w:rPr>
          <w:rFonts w:ascii="Times New Roman" w:hAnsi="Times New Roman"/>
          <w:spacing w:val="-4"/>
          <w:sz w:val="28"/>
          <w:szCs w:val="28"/>
          <w:lang w:val="sq-AL"/>
        </w:rPr>
        <w:t xml:space="preserve">caktimin </w:t>
      </w:r>
      <w:r w:rsidR="003408C9" w:rsidRPr="00C03A20">
        <w:rPr>
          <w:rFonts w:ascii="Times New Roman" w:hAnsi="Times New Roman"/>
          <w:spacing w:val="-4"/>
          <w:sz w:val="28"/>
          <w:szCs w:val="28"/>
          <w:lang w:val="sq-AL"/>
        </w:rPr>
        <w:t>dhe d</w:t>
      </w:r>
      <w:r w:rsidR="008D12E2" w:rsidRPr="00C03A20">
        <w:rPr>
          <w:rFonts w:ascii="Times New Roman" w:hAnsi="Times New Roman"/>
          <w:spacing w:val="-4"/>
          <w:sz w:val="28"/>
          <w:szCs w:val="28"/>
          <w:lang w:val="sq-AL"/>
        </w:rPr>
        <w:t>ë</w:t>
      </w:r>
      <w:r w:rsidR="003408C9" w:rsidRPr="00C03A20">
        <w:rPr>
          <w:rFonts w:ascii="Times New Roman" w:hAnsi="Times New Roman"/>
          <w:spacing w:val="-4"/>
          <w:sz w:val="28"/>
          <w:szCs w:val="28"/>
          <w:lang w:val="sq-AL"/>
        </w:rPr>
        <w:t xml:space="preserve">gjimin e ekspertit, </w:t>
      </w:r>
      <w:r w:rsidR="00AD5B99" w:rsidRPr="00C03A20">
        <w:rPr>
          <w:rFonts w:ascii="Times New Roman" w:hAnsi="Times New Roman"/>
          <w:spacing w:val="-4"/>
          <w:sz w:val="28"/>
          <w:szCs w:val="28"/>
          <w:lang w:val="sq-AL"/>
        </w:rPr>
        <w:t xml:space="preserve">adopton </w:t>
      </w:r>
      <w:r w:rsidR="00F4242A" w:rsidRPr="00C03A20">
        <w:rPr>
          <w:rFonts w:ascii="Times New Roman" w:hAnsi="Times New Roman"/>
          <w:spacing w:val="-4"/>
          <w:sz w:val="28"/>
          <w:szCs w:val="28"/>
          <w:lang w:val="sq-AL"/>
        </w:rPr>
        <w:t>nenin 26 t</w:t>
      </w:r>
      <w:r w:rsidR="008D12E2" w:rsidRPr="00C03A20">
        <w:rPr>
          <w:rFonts w:ascii="Times New Roman" w:hAnsi="Times New Roman"/>
          <w:spacing w:val="-4"/>
          <w:sz w:val="28"/>
          <w:szCs w:val="28"/>
          <w:lang w:val="sq-AL"/>
        </w:rPr>
        <w:t>ë</w:t>
      </w:r>
      <w:r w:rsidR="00F4242A" w:rsidRPr="00C03A20">
        <w:rPr>
          <w:rFonts w:ascii="Times New Roman" w:hAnsi="Times New Roman"/>
          <w:spacing w:val="-4"/>
          <w:sz w:val="28"/>
          <w:szCs w:val="28"/>
          <w:lang w:val="sq-AL"/>
        </w:rPr>
        <w:t xml:space="preserve"> ligjit model UNCITRAL si dhe </w:t>
      </w:r>
      <w:r w:rsidR="00931D1C" w:rsidRPr="00C03A20">
        <w:rPr>
          <w:rFonts w:ascii="Times New Roman" w:hAnsi="Times New Roman"/>
          <w:spacing w:val="-4"/>
          <w:sz w:val="28"/>
          <w:szCs w:val="28"/>
          <w:lang w:val="sq-AL"/>
        </w:rPr>
        <w:t xml:space="preserve">parashikimet e </w:t>
      </w:r>
      <w:r w:rsidR="00DD7A96" w:rsidRPr="00C03A20">
        <w:rPr>
          <w:rFonts w:ascii="Times New Roman" w:hAnsi="Times New Roman"/>
          <w:spacing w:val="-4"/>
          <w:sz w:val="28"/>
          <w:szCs w:val="28"/>
          <w:lang w:val="sq-AL"/>
        </w:rPr>
        <w:t xml:space="preserve">dispozitave mbi arbitrazhin </w:t>
      </w:r>
      <w:r w:rsidR="00472B44" w:rsidRPr="00C03A20">
        <w:rPr>
          <w:rFonts w:ascii="Times New Roman" w:hAnsi="Times New Roman"/>
          <w:spacing w:val="-4"/>
          <w:sz w:val="28"/>
          <w:szCs w:val="28"/>
          <w:lang w:val="sq-AL"/>
        </w:rPr>
        <w:t>t</w:t>
      </w:r>
      <w:r w:rsidR="008D12E2" w:rsidRPr="00C03A20">
        <w:rPr>
          <w:rFonts w:ascii="Times New Roman" w:hAnsi="Times New Roman"/>
          <w:spacing w:val="-4"/>
          <w:sz w:val="28"/>
          <w:szCs w:val="28"/>
          <w:lang w:val="sq-AL"/>
        </w:rPr>
        <w:t>ë</w:t>
      </w:r>
      <w:r w:rsidR="00DD7A96" w:rsidRPr="00C03A20">
        <w:rPr>
          <w:rFonts w:ascii="Times New Roman" w:hAnsi="Times New Roman"/>
          <w:spacing w:val="-4"/>
          <w:sz w:val="28"/>
          <w:szCs w:val="28"/>
          <w:lang w:val="sq-AL"/>
        </w:rPr>
        <w:t xml:space="preserve"> Austrisë, Gjermanisë, Italisë, Kroacisë, Polonisë dhe Sllovenisë. </w:t>
      </w:r>
      <w:r w:rsidR="009A28C4" w:rsidRPr="00C03A20">
        <w:rPr>
          <w:rFonts w:ascii="Times New Roman" w:hAnsi="Times New Roman"/>
          <w:spacing w:val="-4"/>
          <w:sz w:val="28"/>
          <w:szCs w:val="28"/>
          <w:lang w:val="sq-AL"/>
        </w:rPr>
        <w:t xml:space="preserve"> </w:t>
      </w:r>
    </w:p>
    <w:p w:rsidR="00B16619" w:rsidRPr="00C03A20" w:rsidRDefault="00B16619" w:rsidP="00C03A20">
      <w:pPr>
        <w:spacing w:after="0"/>
        <w:jc w:val="both"/>
        <w:rPr>
          <w:rFonts w:ascii="Times New Roman" w:hAnsi="Times New Roman"/>
          <w:spacing w:val="-4"/>
          <w:sz w:val="28"/>
          <w:szCs w:val="28"/>
          <w:lang w:val="sq-AL"/>
        </w:rPr>
      </w:pPr>
    </w:p>
    <w:p w:rsidR="00A17873" w:rsidRPr="00C03A20" w:rsidRDefault="00166B4A" w:rsidP="00C03A20">
      <w:pPr>
        <w:spacing w:after="0"/>
        <w:jc w:val="both"/>
        <w:rPr>
          <w:rFonts w:ascii="Times New Roman" w:hAnsi="Times New Roman"/>
          <w:spacing w:val="-4"/>
          <w:sz w:val="28"/>
          <w:szCs w:val="28"/>
          <w:lang w:val="sq-AL"/>
        </w:rPr>
      </w:pPr>
      <w:r w:rsidRPr="00C03A20">
        <w:rPr>
          <w:rFonts w:ascii="Times New Roman" w:hAnsi="Times New Roman"/>
          <w:b/>
          <w:bCs/>
          <w:spacing w:val="-4"/>
          <w:sz w:val="28"/>
          <w:szCs w:val="28"/>
          <w:lang w:val="sq-AL"/>
        </w:rPr>
        <w:t>KREU VI</w:t>
      </w:r>
      <w:r w:rsidR="00A17873" w:rsidRPr="00C03A20">
        <w:rPr>
          <w:rFonts w:ascii="Times New Roman" w:hAnsi="Times New Roman"/>
          <w:b/>
          <w:bCs/>
          <w:spacing w:val="-4"/>
          <w:sz w:val="28"/>
          <w:szCs w:val="28"/>
          <w:lang w:val="sq-AL"/>
        </w:rPr>
        <w:t xml:space="preserve"> </w:t>
      </w:r>
      <w:r w:rsidR="00A17873" w:rsidRPr="00C03A20">
        <w:rPr>
          <w:rFonts w:ascii="Times New Roman" w:hAnsi="Times New Roman"/>
          <w:spacing w:val="-4"/>
          <w:sz w:val="28"/>
          <w:szCs w:val="28"/>
          <w:lang w:val="sq-AL"/>
        </w:rPr>
        <w:t>“</w:t>
      </w:r>
      <w:r w:rsidR="004C38DC" w:rsidRPr="00C03A20">
        <w:rPr>
          <w:rFonts w:ascii="Times New Roman" w:hAnsi="Times New Roman"/>
          <w:i/>
          <w:iCs/>
          <w:spacing w:val="-4"/>
          <w:sz w:val="28"/>
          <w:szCs w:val="28"/>
          <w:lang w:val="sq-AL"/>
        </w:rPr>
        <w:t>Marrj</w:t>
      </w:r>
      <w:r w:rsidR="00111DDC" w:rsidRPr="00C03A20">
        <w:rPr>
          <w:rFonts w:ascii="Times New Roman" w:hAnsi="Times New Roman"/>
          <w:i/>
          <w:iCs/>
          <w:spacing w:val="-4"/>
          <w:sz w:val="28"/>
          <w:szCs w:val="28"/>
          <w:lang w:val="sq-AL"/>
        </w:rPr>
        <w:t>a e vendimit dhe përfundimi i pro</w:t>
      </w:r>
      <w:r w:rsidR="004C38DC" w:rsidRPr="00C03A20">
        <w:rPr>
          <w:rFonts w:ascii="Times New Roman" w:hAnsi="Times New Roman"/>
          <w:i/>
          <w:iCs/>
          <w:spacing w:val="-4"/>
          <w:sz w:val="28"/>
          <w:szCs w:val="28"/>
          <w:lang w:val="sq-AL"/>
        </w:rPr>
        <w:t>cedurave</w:t>
      </w:r>
      <w:r w:rsidR="00A17873" w:rsidRPr="00C03A20">
        <w:rPr>
          <w:rFonts w:ascii="Times New Roman" w:hAnsi="Times New Roman"/>
          <w:spacing w:val="-4"/>
          <w:sz w:val="28"/>
          <w:szCs w:val="28"/>
          <w:lang w:val="sq-AL"/>
        </w:rPr>
        <w:t>”</w:t>
      </w:r>
      <w:r w:rsidR="004E159D" w:rsidRPr="00C03A20">
        <w:rPr>
          <w:rFonts w:ascii="Times New Roman" w:hAnsi="Times New Roman"/>
          <w:spacing w:val="-4"/>
          <w:sz w:val="28"/>
          <w:szCs w:val="28"/>
          <w:lang w:val="sq-AL"/>
        </w:rPr>
        <w:t xml:space="preserve"> p</w:t>
      </w:r>
      <w:r w:rsidR="00136EB6" w:rsidRPr="00C03A20">
        <w:rPr>
          <w:rFonts w:ascii="Times New Roman" w:hAnsi="Times New Roman"/>
          <w:spacing w:val="-4"/>
          <w:sz w:val="28"/>
          <w:szCs w:val="28"/>
          <w:lang w:val="sq-AL"/>
        </w:rPr>
        <w:t>ë</w:t>
      </w:r>
      <w:r w:rsidR="006E25CB" w:rsidRPr="00C03A20">
        <w:rPr>
          <w:rFonts w:ascii="Times New Roman" w:hAnsi="Times New Roman"/>
          <w:spacing w:val="-4"/>
          <w:sz w:val="28"/>
          <w:szCs w:val="28"/>
          <w:lang w:val="sq-AL"/>
        </w:rPr>
        <w:t>rmban rregullat e zbatueshme p</w:t>
      </w:r>
      <w:r w:rsidR="00136EB6" w:rsidRPr="00C03A20">
        <w:rPr>
          <w:rFonts w:ascii="Times New Roman" w:hAnsi="Times New Roman"/>
          <w:spacing w:val="-4"/>
          <w:sz w:val="28"/>
          <w:szCs w:val="28"/>
          <w:lang w:val="sq-AL"/>
        </w:rPr>
        <w:t>ë</w:t>
      </w:r>
      <w:r w:rsidR="006E25CB" w:rsidRPr="00C03A20">
        <w:rPr>
          <w:rFonts w:ascii="Times New Roman" w:hAnsi="Times New Roman"/>
          <w:spacing w:val="-4"/>
          <w:sz w:val="28"/>
          <w:szCs w:val="28"/>
          <w:lang w:val="sq-AL"/>
        </w:rPr>
        <w:t>r thelbin e mosmarr</w:t>
      </w:r>
      <w:r w:rsidR="00136EB6" w:rsidRPr="00C03A20">
        <w:rPr>
          <w:rFonts w:ascii="Times New Roman" w:hAnsi="Times New Roman"/>
          <w:spacing w:val="-4"/>
          <w:sz w:val="28"/>
          <w:szCs w:val="28"/>
          <w:lang w:val="sq-AL"/>
        </w:rPr>
        <w:t>ë</w:t>
      </w:r>
      <w:r w:rsidR="006E25CB" w:rsidRPr="00C03A20">
        <w:rPr>
          <w:rFonts w:ascii="Times New Roman" w:hAnsi="Times New Roman"/>
          <w:spacing w:val="-4"/>
          <w:sz w:val="28"/>
          <w:szCs w:val="28"/>
          <w:lang w:val="sq-AL"/>
        </w:rPr>
        <w:t>veshjes, m</w:t>
      </w:r>
      <w:r w:rsidR="00136EB6" w:rsidRPr="00C03A20">
        <w:rPr>
          <w:rFonts w:ascii="Times New Roman" w:hAnsi="Times New Roman"/>
          <w:spacing w:val="-4"/>
          <w:sz w:val="28"/>
          <w:szCs w:val="28"/>
          <w:lang w:val="sq-AL"/>
        </w:rPr>
        <w:t>ë</w:t>
      </w:r>
      <w:r w:rsidR="006E25CB" w:rsidRPr="00C03A20">
        <w:rPr>
          <w:rFonts w:ascii="Times New Roman" w:hAnsi="Times New Roman"/>
          <w:spacing w:val="-4"/>
          <w:sz w:val="28"/>
          <w:szCs w:val="28"/>
          <w:lang w:val="sq-AL"/>
        </w:rPr>
        <w:t>nyr</w:t>
      </w:r>
      <w:r w:rsidR="00136EB6" w:rsidRPr="00C03A20">
        <w:rPr>
          <w:rFonts w:ascii="Times New Roman" w:hAnsi="Times New Roman"/>
          <w:spacing w:val="-4"/>
          <w:sz w:val="28"/>
          <w:szCs w:val="28"/>
          <w:lang w:val="sq-AL"/>
        </w:rPr>
        <w:t>ë</w:t>
      </w:r>
      <w:r w:rsidR="006E25CB" w:rsidRPr="00C03A20">
        <w:rPr>
          <w:rFonts w:ascii="Times New Roman" w:hAnsi="Times New Roman"/>
          <w:spacing w:val="-4"/>
          <w:sz w:val="28"/>
          <w:szCs w:val="28"/>
          <w:lang w:val="sq-AL"/>
        </w:rPr>
        <w:t>n e marrjes s</w:t>
      </w:r>
      <w:r w:rsidR="00136EB6" w:rsidRPr="00C03A20">
        <w:rPr>
          <w:rFonts w:ascii="Times New Roman" w:hAnsi="Times New Roman"/>
          <w:spacing w:val="-4"/>
          <w:sz w:val="28"/>
          <w:szCs w:val="28"/>
          <w:lang w:val="sq-AL"/>
        </w:rPr>
        <w:t>ë</w:t>
      </w:r>
      <w:r w:rsidR="006E25CB" w:rsidRPr="00C03A20">
        <w:rPr>
          <w:rFonts w:ascii="Times New Roman" w:hAnsi="Times New Roman"/>
          <w:spacing w:val="-4"/>
          <w:sz w:val="28"/>
          <w:szCs w:val="28"/>
          <w:lang w:val="sq-AL"/>
        </w:rPr>
        <w:t xml:space="preserve"> vendimit nga trupi i arbitrave, </w:t>
      </w:r>
      <w:r w:rsidR="001402B3" w:rsidRPr="00C03A20">
        <w:rPr>
          <w:rFonts w:ascii="Times New Roman" w:hAnsi="Times New Roman"/>
          <w:spacing w:val="-4"/>
          <w:sz w:val="28"/>
          <w:szCs w:val="28"/>
          <w:lang w:val="sq-AL"/>
        </w:rPr>
        <w:t xml:space="preserve">procedurat e reflektimit </w:t>
      </w:r>
      <w:r w:rsidR="00B50BD4" w:rsidRPr="00C03A20">
        <w:rPr>
          <w:rFonts w:ascii="Times New Roman" w:hAnsi="Times New Roman"/>
          <w:spacing w:val="-4"/>
          <w:sz w:val="28"/>
          <w:szCs w:val="28"/>
          <w:lang w:val="sq-AL"/>
        </w:rPr>
        <w:t>n</w:t>
      </w:r>
      <w:r w:rsidR="00136EB6" w:rsidRPr="00C03A20">
        <w:rPr>
          <w:rFonts w:ascii="Times New Roman" w:hAnsi="Times New Roman"/>
          <w:spacing w:val="-4"/>
          <w:sz w:val="28"/>
          <w:szCs w:val="28"/>
          <w:lang w:val="sq-AL"/>
        </w:rPr>
        <w:t>ë</w:t>
      </w:r>
      <w:r w:rsidR="00B50BD4" w:rsidRPr="00C03A20">
        <w:rPr>
          <w:rFonts w:ascii="Times New Roman" w:hAnsi="Times New Roman"/>
          <w:spacing w:val="-4"/>
          <w:sz w:val="28"/>
          <w:szCs w:val="28"/>
          <w:lang w:val="sq-AL"/>
        </w:rPr>
        <w:t xml:space="preserve"> procedur</w:t>
      </w:r>
      <w:r w:rsidR="00136EB6" w:rsidRPr="00C03A20">
        <w:rPr>
          <w:rFonts w:ascii="Times New Roman" w:hAnsi="Times New Roman"/>
          <w:spacing w:val="-4"/>
          <w:sz w:val="28"/>
          <w:szCs w:val="28"/>
          <w:lang w:val="sq-AL"/>
        </w:rPr>
        <w:t>ë</w:t>
      </w:r>
      <w:r w:rsidR="00B50BD4" w:rsidRPr="00C03A20">
        <w:rPr>
          <w:rFonts w:ascii="Times New Roman" w:hAnsi="Times New Roman"/>
          <w:spacing w:val="-4"/>
          <w:sz w:val="28"/>
          <w:szCs w:val="28"/>
          <w:lang w:val="sq-AL"/>
        </w:rPr>
        <w:t>n e arbitrazhit t</w:t>
      </w:r>
      <w:r w:rsidR="00136EB6" w:rsidRPr="00C03A20">
        <w:rPr>
          <w:rFonts w:ascii="Times New Roman" w:hAnsi="Times New Roman"/>
          <w:spacing w:val="-4"/>
          <w:sz w:val="28"/>
          <w:szCs w:val="28"/>
          <w:lang w:val="sq-AL"/>
        </w:rPr>
        <w:t>ë</w:t>
      </w:r>
      <w:r w:rsidR="00B50BD4" w:rsidRPr="00C03A20">
        <w:rPr>
          <w:rFonts w:ascii="Times New Roman" w:hAnsi="Times New Roman"/>
          <w:spacing w:val="-4"/>
          <w:sz w:val="28"/>
          <w:szCs w:val="28"/>
          <w:lang w:val="sq-AL"/>
        </w:rPr>
        <w:t xml:space="preserve"> zgjidhjes s</w:t>
      </w:r>
      <w:r w:rsidR="00136EB6" w:rsidRPr="00C03A20">
        <w:rPr>
          <w:rFonts w:ascii="Times New Roman" w:hAnsi="Times New Roman"/>
          <w:spacing w:val="-4"/>
          <w:sz w:val="28"/>
          <w:szCs w:val="28"/>
          <w:lang w:val="sq-AL"/>
        </w:rPr>
        <w:t>ë</w:t>
      </w:r>
      <w:r w:rsidR="00B50BD4" w:rsidRPr="00C03A20">
        <w:rPr>
          <w:rFonts w:ascii="Times New Roman" w:hAnsi="Times New Roman"/>
          <w:spacing w:val="-4"/>
          <w:sz w:val="28"/>
          <w:szCs w:val="28"/>
          <w:lang w:val="sq-AL"/>
        </w:rPr>
        <w:t xml:space="preserve"> mosmarr</w:t>
      </w:r>
      <w:r w:rsidR="00136EB6" w:rsidRPr="00C03A20">
        <w:rPr>
          <w:rFonts w:ascii="Times New Roman" w:hAnsi="Times New Roman"/>
          <w:spacing w:val="-4"/>
          <w:sz w:val="28"/>
          <w:szCs w:val="28"/>
          <w:lang w:val="sq-AL"/>
        </w:rPr>
        <w:t>ë</w:t>
      </w:r>
      <w:r w:rsidR="00B50BD4" w:rsidRPr="00C03A20">
        <w:rPr>
          <w:rFonts w:ascii="Times New Roman" w:hAnsi="Times New Roman"/>
          <w:spacing w:val="-4"/>
          <w:sz w:val="28"/>
          <w:szCs w:val="28"/>
          <w:lang w:val="sq-AL"/>
        </w:rPr>
        <w:t>veshjes me mir</w:t>
      </w:r>
      <w:r w:rsidR="00136EB6" w:rsidRPr="00C03A20">
        <w:rPr>
          <w:rFonts w:ascii="Times New Roman" w:hAnsi="Times New Roman"/>
          <w:spacing w:val="-4"/>
          <w:sz w:val="28"/>
          <w:szCs w:val="28"/>
          <w:lang w:val="sq-AL"/>
        </w:rPr>
        <w:t>ë</w:t>
      </w:r>
      <w:r w:rsidR="00B50BD4" w:rsidRPr="00C03A20">
        <w:rPr>
          <w:rFonts w:ascii="Times New Roman" w:hAnsi="Times New Roman"/>
          <w:spacing w:val="-4"/>
          <w:sz w:val="28"/>
          <w:szCs w:val="28"/>
          <w:lang w:val="sq-AL"/>
        </w:rPr>
        <w:t>kuptim,</w:t>
      </w:r>
      <w:r w:rsidR="00555722" w:rsidRPr="00C03A20">
        <w:rPr>
          <w:rFonts w:ascii="Times New Roman" w:hAnsi="Times New Roman"/>
          <w:spacing w:val="-4"/>
          <w:sz w:val="28"/>
          <w:szCs w:val="28"/>
          <w:lang w:val="sq-AL"/>
        </w:rPr>
        <w:t xml:space="preserve"> </w:t>
      </w:r>
      <w:r w:rsidR="00E770FD" w:rsidRPr="00C03A20">
        <w:rPr>
          <w:rFonts w:ascii="Times New Roman" w:hAnsi="Times New Roman"/>
          <w:spacing w:val="-4"/>
          <w:sz w:val="28"/>
          <w:szCs w:val="28"/>
          <w:lang w:val="sq-AL"/>
        </w:rPr>
        <w:t>form</w:t>
      </w:r>
      <w:r w:rsidR="00136EB6" w:rsidRPr="00C03A20">
        <w:rPr>
          <w:rFonts w:ascii="Times New Roman" w:hAnsi="Times New Roman"/>
          <w:spacing w:val="-4"/>
          <w:sz w:val="28"/>
          <w:szCs w:val="28"/>
          <w:lang w:val="sq-AL"/>
        </w:rPr>
        <w:t>ë</w:t>
      </w:r>
      <w:r w:rsidR="00E770FD" w:rsidRPr="00C03A20">
        <w:rPr>
          <w:rFonts w:ascii="Times New Roman" w:hAnsi="Times New Roman"/>
          <w:spacing w:val="-4"/>
          <w:sz w:val="28"/>
          <w:szCs w:val="28"/>
          <w:lang w:val="sq-AL"/>
        </w:rPr>
        <w:t>n e p</w:t>
      </w:r>
      <w:r w:rsidR="00136EB6" w:rsidRPr="00C03A20">
        <w:rPr>
          <w:rFonts w:ascii="Times New Roman" w:hAnsi="Times New Roman"/>
          <w:spacing w:val="-4"/>
          <w:sz w:val="28"/>
          <w:szCs w:val="28"/>
          <w:lang w:val="sq-AL"/>
        </w:rPr>
        <w:t>ë</w:t>
      </w:r>
      <w:r w:rsidR="00E770FD" w:rsidRPr="00C03A20">
        <w:rPr>
          <w:rFonts w:ascii="Times New Roman" w:hAnsi="Times New Roman"/>
          <w:spacing w:val="-4"/>
          <w:sz w:val="28"/>
          <w:szCs w:val="28"/>
          <w:lang w:val="sq-AL"/>
        </w:rPr>
        <w:t>rmbajtjen e vendimit t</w:t>
      </w:r>
      <w:r w:rsidR="00136EB6" w:rsidRPr="00C03A20">
        <w:rPr>
          <w:rFonts w:ascii="Times New Roman" w:hAnsi="Times New Roman"/>
          <w:spacing w:val="-4"/>
          <w:sz w:val="28"/>
          <w:szCs w:val="28"/>
          <w:lang w:val="sq-AL"/>
        </w:rPr>
        <w:t>ë</w:t>
      </w:r>
      <w:r w:rsidR="00E770FD" w:rsidRPr="00C03A20">
        <w:rPr>
          <w:rFonts w:ascii="Times New Roman" w:hAnsi="Times New Roman"/>
          <w:spacing w:val="-4"/>
          <w:sz w:val="28"/>
          <w:szCs w:val="28"/>
          <w:lang w:val="sq-AL"/>
        </w:rPr>
        <w:t xml:space="preserve"> </w:t>
      </w:r>
      <w:r w:rsidR="00702DBE" w:rsidRPr="00C03A20">
        <w:rPr>
          <w:rFonts w:ascii="Times New Roman" w:hAnsi="Times New Roman"/>
          <w:spacing w:val="-4"/>
          <w:sz w:val="28"/>
          <w:szCs w:val="28"/>
          <w:lang w:val="sq-AL"/>
        </w:rPr>
        <w:t>gjykat</w:t>
      </w:r>
      <w:r w:rsidR="00136EB6" w:rsidRPr="00C03A20">
        <w:rPr>
          <w:rFonts w:ascii="Times New Roman" w:hAnsi="Times New Roman"/>
          <w:spacing w:val="-4"/>
          <w:sz w:val="28"/>
          <w:szCs w:val="28"/>
          <w:lang w:val="sq-AL"/>
        </w:rPr>
        <w:t>ë</w:t>
      </w:r>
      <w:r w:rsidR="00702DBE" w:rsidRPr="00C03A20">
        <w:rPr>
          <w:rFonts w:ascii="Times New Roman" w:hAnsi="Times New Roman"/>
          <w:spacing w:val="-4"/>
          <w:sz w:val="28"/>
          <w:szCs w:val="28"/>
          <w:lang w:val="sq-AL"/>
        </w:rPr>
        <w:t>s s</w:t>
      </w:r>
      <w:r w:rsidR="00136EB6" w:rsidRPr="00C03A20">
        <w:rPr>
          <w:rFonts w:ascii="Times New Roman" w:hAnsi="Times New Roman"/>
          <w:spacing w:val="-4"/>
          <w:sz w:val="28"/>
          <w:szCs w:val="28"/>
          <w:lang w:val="sq-AL"/>
        </w:rPr>
        <w:t>ë</w:t>
      </w:r>
      <w:r w:rsidR="00702DBE" w:rsidRPr="00C03A20">
        <w:rPr>
          <w:rFonts w:ascii="Times New Roman" w:hAnsi="Times New Roman"/>
          <w:spacing w:val="-4"/>
          <w:sz w:val="28"/>
          <w:szCs w:val="28"/>
          <w:lang w:val="sq-AL"/>
        </w:rPr>
        <w:t xml:space="preserve"> arbitrazhit, </w:t>
      </w:r>
      <w:r w:rsidR="00555722" w:rsidRPr="00C03A20">
        <w:rPr>
          <w:rFonts w:ascii="Times New Roman" w:hAnsi="Times New Roman"/>
          <w:spacing w:val="-4"/>
          <w:sz w:val="28"/>
          <w:szCs w:val="28"/>
          <w:lang w:val="sq-AL"/>
        </w:rPr>
        <w:t>p</w:t>
      </w:r>
      <w:r w:rsidR="00136EB6" w:rsidRPr="00C03A20">
        <w:rPr>
          <w:rFonts w:ascii="Times New Roman" w:hAnsi="Times New Roman"/>
          <w:spacing w:val="-4"/>
          <w:sz w:val="28"/>
          <w:szCs w:val="28"/>
          <w:lang w:val="sq-AL"/>
        </w:rPr>
        <w:t>ë</w:t>
      </w:r>
      <w:r w:rsidR="00555722" w:rsidRPr="00C03A20">
        <w:rPr>
          <w:rFonts w:ascii="Times New Roman" w:hAnsi="Times New Roman"/>
          <w:spacing w:val="-4"/>
          <w:sz w:val="28"/>
          <w:szCs w:val="28"/>
          <w:lang w:val="sq-AL"/>
        </w:rPr>
        <w:t>rfundimin e procedurave t</w:t>
      </w:r>
      <w:r w:rsidR="00136EB6" w:rsidRPr="00C03A20">
        <w:rPr>
          <w:rFonts w:ascii="Times New Roman" w:hAnsi="Times New Roman"/>
          <w:spacing w:val="-4"/>
          <w:sz w:val="28"/>
          <w:szCs w:val="28"/>
          <w:lang w:val="sq-AL"/>
        </w:rPr>
        <w:t>ë</w:t>
      </w:r>
      <w:r w:rsidR="00555722" w:rsidRPr="00C03A20">
        <w:rPr>
          <w:rFonts w:ascii="Times New Roman" w:hAnsi="Times New Roman"/>
          <w:spacing w:val="-4"/>
          <w:sz w:val="28"/>
          <w:szCs w:val="28"/>
          <w:lang w:val="sq-AL"/>
        </w:rPr>
        <w:t xml:space="preserve"> arbitrazhit, k</w:t>
      </w:r>
      <w:r w:rsidR="00520489" w:rsidRPr="00C03A20">
        <w:rPr>
          <w:rFonts w:ascii="Times New Roman" w:hAnsi="Times New Roman"/>
          <w:spacing w:val="-4"/>
          <w:sz w:val="28"/>
          <w:szCs w:val="28"/>
          <w:lang w:val="sq-AL"/>
        </w:rPr>
        <w:t>orrigjimi</w:t>
      </w:r>
      <w:r w:rsidR="00555722" w:rsidRPr="00C03A20">
        <w:rPr>
          <w:rFonts w:ascii="Times New Roman" w:hAnsi="Times New Roman"/>
          <w:spacing w:val="-4"/>
          <w:sz w:val="28"/>
          <w:szCs w:val="28"/>
          <w:lang w:val="sq-AL"/>
        </w:rPr>
        <w:t>n</w:t>
      </w:r>
      <w:r w:rsidR="00520489" w:rsidRPr="00C03A20">
        <w:rPr>
          <w:rFonts w:ascii="Times New Roman" w:hAnsi="Times New Roman"/>
          <w:spacing w:val="-4"/>
          <w:sz w:val="28"/>
          <w:szCs w:val="28"/>
          <w:lang w:val="sq-AL"/>
        </w:rPr>
        <w:t xml:space="preserve"> </w:t>
      </w:r>
      <w:r w:rsidR="00555722" w:rsidRPr="00C03A20">
        <w:rPr>
          <w:rFonts w:ascii="Times New Roman" w:hAnsi="Times New Roman"/>
          <w:spacing w:val="-4"/>
          <w:sz w:val="28"/>
          <w:szCs w:val="28"/>
          <w:lang w:val="sq-AL"/>
        </w:rPr>
        <w:t>e</w:t>
      </w:r>
      <w:r w:rsidR="00520489" w:rsidRPr="00C03A20">
        <w:rPr>
          <w:rFonts w:ascii="Times New Roman" w:hAnsi="Times New Roman"/>
          <w:spacing w:val="-4"/>
          <w:sz w:val="28"/>
          <w:szCs w:val="28"/>
          <w:lang w:val="sq-AL"/>
        </w:rPr>
        <w:t xml:space="preserve"> gabimeve materiale, interpretim</w:t>
      </w:r>
      <w:r w:rsidR="0008155F" w:rsidRPr="00C03A20">
        <w:rPr>
          <w:rFonts w:ascii="Times New Roman" w:hAnsi="Times New Roman"/>
          <w:spacing w:val="-4"/>
          <w:sz w:val="28"/>
          <w:szCs w:val="28"/>
          <w:lang w:val="sq-AL"/>
        </w:rPr>
        <w:t>in</w:t>
      </w:r>
      <w:r w:rsidR="00520489" w:rsidRPr="00C03A20">
        <w:rPr>
          <w:rFonts w:ascii="Times New Roman" w:hAnsi="Times New Roman"/>
          <w:spacing w:val="-4"/>
          <w:sz w:val="28"/>
          <w:szCs w:val="28"/>
          <w:lang w:val="sq-AL"/>
        </w:rPr>
        <w:t xml:space="preserve"> </w:t>
      </w:r>
      <w:r w:rsidR="0008155F" w:rsidRPr="00C03A20">
        <w:rPr>
          <w:rFonts w:ascii="Times New Roman" w:hAnsi="Times New Roman"/>
          <w:spacing w:val="-4"/>
          <w:sz w:val="28"/>
          <w:szCs w:val="28"/>
          <w:lang w:val="sq-AL"/>
        </w:rPr>
        <w:t>e</w:t>
      </w:r>
      <w:r w:rsidR="00520489" w:rsidRPr="00C03A20">
        <w:rPr>
          <w:rFonts w:ascii="Times New Roman" w:hAnsi="Times New Roman"/>
          <w:spacing w:val="-4"/>
          <w:sz w:val="28"/>
          <w:szCs w:val="28"/>
          <w:lang w:val="sq-AL"/>
        </w:rPr>
        <w:t xml:space="preserve"> vendimit dhe vendimi</w:t>
      </w:r>
      <w:r w:rsidR="0008155F" w:rsidRPr="00C03A20">
        <w:rPr>
          <w:rFonts w:ascii="Times New Roman" w:hAnsi="Times New Roman"/>
          <w:spacing w:val="-4"/>
          <w:sz w:val="28"/>
          <w:szCs w:val="28"/>
          <w:lang w:val="sq-AL"/>
        </w:rPr>
        <w:t>n</w:t>
      </w:r>
      <w:r w:rsidR="00520489" w:rsidRPr="00C03A20">
        <w:rPr>
          <w:rFonts w:ascii="Times New Roman" w:hAnsi="Times New Roman"/>
          <w:spacing w:val="-4"/>
          <w:sz w:val="28"/>
          <w:szCs w:val="28"/>
          <w:lang w:val="sq-AL"/>
        </w:rPr>
        <w:t xml:space="preserve"> shtesë  </w:t>
      </w:r>
      <w:r w:rsidR="0008155F" w:rsidRPr="00C03A20">
        <w:rPr>
          <w:rFonts w:ascii="Times New Roman" w:hAnsi="Times New Roman"/>
          <w:spacing w:val="-4"/>
          <w:sz w:val="28"/>
          <w:szCs w:val="28"/>
          <w:lang w:val="sq-AL"/>
        </w:rPr>
        <w:t>t</w:t>
      </w:r>
      <w:r w:rsidR="00136EB6" w:rsidRPr="00C03A20">
        <w:rPr>
          <w:rFonts w:ascii="Times New Roman" w:hAnsi="Times New Roman"/>
          <w:spacing w:val="-4"/>
          <w:sz w:val="28"/>
          <w:szCs w:val="28"/>
          <w:lang w:val="sq-AL"/>
        </w:rPr>
        <w:t>ë</w:t>
      </w:r>
      <w:r w:rsidR="00520489" w:rsidRPr="00C03A20">
        <w:rPr>
          <w:rFonts w:ascii="Times New Roman" w:hAnsi="Times New Roman"/>
          <w:spacing w:val="-4"/>
          <w:sz w:val="28"/>
          <w:szCs w:val="28"/>
          <w:lang w:val="sq-AL"/>
        </w:rPr>
        <w:t xml:space="preserve"> arbitrazhit</w:t>
      </w:r>
      <w:r w:rsidR="0008155F" w:rsidRPr="00C03A20">
        <w:rPr>
          <w:rFonts w:ascii="Times New Roman" w:hAnsi="Times New Roman"/>
          <w:spacing w:val="-4"/>
          <w:sz w:val="28"/>
          <w:szCs w:val="28"/>
          <w:lang w:val="sq-AL"/>
        </w:rPr>
        <w:t xml:space="preserve">, </w:t>
      </w:r>
      <w:r w:rsidR="00980271" w:rsidRPr="00C03A20">
        <w:rPr>
          <w:rFonts w:ascii="Times New Roman" w:hAnsi="Times New Roman"/>
          <w:spacing w:val="-4"/>
          <w:sz w:val="28"/>
          <w:szCs w:val="28"/>
          <w:lang w:val="sq-AL"/>
        </w:rPr>
        <w:t xml:space="preserve">vendimin e </w:t>
      </w:r>
      <w:r w:rsidR="00980271" w:rsidRPr="00C03A20">
        <w:rPr>
          <w:rFonts w:ascii="Times New Roman" w:hAnsi="Times New Roman"/>
          <w:spacing w:val="-4"/>
          <w:sz w:val="28"/>
          <w:szCs w:val="28"/>
          <w:lang w:val="sq-AL"/>
        </w:rPr>
        <w:lastRenderedPageBreak/>
        <w:t>gjykat</w:t>
      </w:r>
      <w:r w:rsidR="00136EB6" w:rsidRPr="00C03A20">
        <w:rPr>
          <w:rFonts w:ascii="Times New Roman" w:hAnsi="Times New Roman"/>
          <w:spacing w:val="-4"/>
          <w:sz w:val="28"/>
          <w:szCs w:val="28"/>
          <w:lang w:val="sq-AL"/>
        </w:rPr>
        <w:t>ë</w:t>
      </w:r>
      <w:r w:rsidR="00980271" w:rsidRPr="00C03A20">
        <w:rPr>
          <w:rFonts w:ascii="Times New Roman" w:hAnsi="Times New Roman"/>
          <w:spacing w:val="-4"/>
          <w:sz w:val="28"/>
          <w:szCs w:val="28"/>
          <w:lang w:val="sq-AL"/>
        </w:rPr>
        <w:t>s s</w:t>
      </w:r>
      <w:r w:rsidR="00136EB6" w:rsidRPr="00C03A20">
        <w:rPr>
          <w:rFonts w:ascii="Times New Roman" w:hAnsi="Times New Roman"/>
          <w:spacing w:val="-4"/>
          <w:sz w:val="28"/>
          <w:szCs w:val="28"/>
          <w:lang w:val="sq-AL"/>
        </w:rPr>
        <w:t>ë</w:t>
      </w:r>
      <w:r w:rsidR="00980271" w:rsidRPr="00C03A20">
        <w:rPr>
          <w:rFonts w:ascii="Times New Roman" w:hAnsi="Times New Roman"/>
          <w:spacing w:val="-4"/>
          <w:sz w:val="28"/>
          <w:szCs w:val="28"/>
          <w:lang w:val="sq-AL"/>
        </w:rPr>
        <w:t xml:space="preserve"> arbitrazhit mbi shpenzimet e procedurës së arbitrazhit</w:t>
      </w:r>
      <w:r w:rsidR="00520489" w:rsidRPr="00C03A20">
        <w:rPr>
          <w:rFonts w:ascii="Times New Roman" w:hAnsi="Times New Roman"/>
          <w:spacing w:val="-4"/>
          <w:sz w:val="28"/>
          <w:szCs w:val="28"/>
          <w:lang w:val="sq-AL"/>
        </w:rPr>
        <w:t xml:space="preserve"> </w:t>
      </w:r>
      <w:r w:rsidR="00980271" w:rsidRPr="00C03A20">
        <w:rPr>
          <w:rFonts w:ascii="Times New Roman" w:hAnsi="Times New Roman"/>
          <w:spacing w:val="-4"/>
          <w:sz w:val="28"/>
          <w:szCs w:val="28"/>
          <w:lang w:val="sq-AL"/>
        </w:rPr>
        <w:t>si dhe ankimin kund</w:t>
      </w:r>
      <w:r w:rsidR="00136EB6" w:rsidRPr="00C03A20">
        <w:rPr>
          <w:rFonts w:ascii="Times New Roman" w:hAnsi="Times New Roman"/>
          <w:spacing w:val="-4"/>
          <w:sz w:val="28"/>
          <w:szCs w:val="28"/>
          <w:lang w:val="sq-AL"/>
        </w:rPr>
        <w:t>ë</w:t>
      </w:r>
      <w:r w:rsidR="00980271" w:rsidRPr="00C03A20">
        <w:rPr>
          <w:rFonts w:ascii="Times New Roman" w:hAnsi="Times New Roman"/>
          <w:spacing w:val="-4"/>
          <w:sz w:val="28"/>
          <w:szCs w:val="28"/>
          <w:lang w:val="sq-AL"/>
        </w:rPr>
        <w:t>r vendimit t</w:t>
      </w:r>
      <w:r w:rsidR="00136EB6" w:rsidRPr="00C03A20">
        <w:rPr>
          <w:rFonts w:ascii="Times New Roman" w:hAnsi="Times New Roman"/>
          <w:spacing w:val="-4"/>
          <w:sz w:val="28"/>
          <w:szCs w:val="28"/>
          <w:lang w:val="sq-AL"/>
        </w:rPr>
        <w:t>ë</w:t>
      </w:r>
      <w:r w:rsidR="00980271" w:rsidRPr="00C03A20">
        <w:rPr>
          <w:rFonts w:ascii="Times New Roman" w:hAnsi="Times New Roman"/>
          <w:spacing w:val="-4"/>
          <w:sz w:val="28"/>
          <w:szCs w:val="28"/>
          <w:lang w:val="sq-AL"/>
        </w:rPr>
        <w:t xml:space="preserve"> arbitrazhit</w:t>
      </w:r>
      <w:r w:rsidR="001937E1" w:rsidRPr="00C03A20">
        <w:rPr>
          <w:rFonts w:ascii="Times New Roman" w:hAnsi="Times New Roman"/>
          <w:spacing w:val="-4"/>
          <w:sz w:val="28"/>
          <w:szCs w:val="28"/>
          <w:lang w:val="sq-AL"/>
        </w:rPr>
        <w:t xml:space="preserve"> </w:t>
      </w:r>
      <w:r w:rsidR="00B9148B" w:rsidRPr="00C03A20">
        <w:rPr>
          <w:rFonts w:ascii="Times New Roman" w:hAnsi="Times New Roman"/>
          <w:spacing w:val="-4"/>
          <w:sz w:val="28"/>
          <w:szCs w:val="28"/>
          <w:lang w:val="sq-AL"/>
        </w:rPr>
        <w:t xml:space="preserve">në përputhje me parashikimet e neneve </w:t>
      </w:r>
      <w:r w:rsidR="001937E1" w:rsidRPr="00C03A20">
        <w:rPr>
          <w:rFonts w:ascii="Times New Roman" w:hAnsi="Times New Roman"/>
          <w:spacing w:val="-4"/>
          <w:sz w:val="28"/>
          <w:szCs w:val="28"/>
          <w:lang w:val="sq-AL"/>
        </w:rPr>
        <w:t>2</w:t>
      </w:r>
      <w:r w:rsidR="00B9148B" w:rsidRPr="00C03A20">
        <w:rPr>
          <w:rFonts w:ascii="Times New Roman" w:hAnsi="Times New Roman"/>
          <w:spacing w:val="-4"/>
          <w:sz w:val="28"/>
          <w:szCs w:val="28"/>
          <w:lang w:val="sq-AL"/>
        </w:rPr>
        <w:t xml:space="preserve">8, </w:t>
      </w:r>
      <w:r w:rsidR="00EE43F3" w:rsidRPr="00C03A20">
        <w:rPr>
          <w:rFonts w:ascii="Times New Roman" w:hAnsi="Times New Roman"/>
          <w:spacing w:val="-4"/>
          <w:sz w:val="28"/>
          <w:szCs w:val="28"/>
          <w:lang w:val="sq-AL"/>
        </w:rPr>
        <w:t xml:space="preserve">29, 30, 31, </w:t>
      </w:r>
      <w:r w:rsidR="00A308A8" w:rsidRPr="00C03A20">
        <w:rPr>
          <w:rFonts w:ascii="Times New Roman" w:hAnsi="Times New Roman"/>
          <w:spacing w:val="-4"/>
          <w:sz w:val="28"/>
          <w:szCs w:val="28"/>
          <w:lang w:val="sq-AL"/>
        </w:rPr>
        <w:t>32, 33 dhe 34</w:t>
      </w:r>
      <w:r w:rsidR="00B9148B" w:rsidRPr="00C03A20">
        <w:rPr>
          <w:rFonts w:ascii="Times New Roman" w:hAnsi="Times New Roman"/>
          <w:spacing w:val="-4"/>
          <w:sz w:val="28"/>
          <w:szCs w:val="28"/>
          <w:lang w:val="sq-AL"/>
        </w:rPr>
        <w:t xml:space="preserve"> të ligjit model UNCITRAL dhe </w:t>
      </w:r>
      <w:r w:rsidR="0082008D" w:rsidRPr="00C03A20">
        <w:rPr>
          <w:rFonts w:ascii="Times New Roman" w:hAnsi="Times New Roman"/>
          <w:spacing w:val="-4"/>
          <w:sz w:val="28"/>
          <w:szCs w:val="28"/>
          <w:lang w:val="sq-AL"/>
        </w:rPr>
        <w:t>q</w:t>
      </w:r>
      <w:r w:rsidR="002565EE" w:rsidRPr="00C03A20">
        <w:rPr>
          <w:rFonts w:ascii="Times New Roman" w:hAnsi="Times New Roman"/>
          <w:spacing w:val="-4"/>
          <w:sz w:val="28"/>
          <w:szCs w:val="28"/>
          <w:lang w:val="sq-AL"/>
        </w:rPr>
        <w:t>ë</w:t>
      </w:r>
      <w:r w:rsidR="0082008D" w:rsidRPr="00C03A20">
        <w:rPr>
          <w:rFonts w:ascii="Times New Roman" w:hAnsi="Times New Roman"/>
          <w:spacing w:val="-4"/>
          <w:sz w:val="28"/>
          <w:szCs w:val="28"/>
          <w:lang w:val="sq-AL"/>
        </w:rPr>
        <w:t xml:space="preserve"> </w:t>
      </w:r>
      <w:r w:rsidR="00B9148B" w:rsidRPr="00C03A20">
        <w:rPr>
          <w:rFonts w:ascii="Times New Roman" w:hAnsi="Times New Roman"/>
          <w:spacing w:val="-4"/>
          <w:sz w:val="28"/>
          <w:szCs w:val="28"/>
          <w:lang w:val="sq-AL"/>
        </w:rPr>
        <w:t>janë të ngjashme me dispozitat mbi arbitrazhin të Austrisë, Gjermanisë, Italisë, Kroacisë, Polonisë dhe Sllovenisë.</w:t>
      </w:r>
    </w:p>
    <w:p w:rsidR="006D7F31" w:rsidRPr="00C03A20" w:rsidRDefault="006D7F31" w:rsidP="00C03A20">
      <w:pPr>
        <w:spacing w:after="0"/>
        <w:jc w:val="both"/>
        <w:rPr>
          <w:rFonts w:ascii="Times New Roman" w:hAnsi="Times New Roman"/>
          <w:spacing w:val="-4"/>
          <w:sz w:val="28"/>
          <w:szCs w:val="28"/>
          <w:lang w:val="sq-AL"/>
        </w:rPr>
      </w:pPr>
    </w:p>
    <w:p w:rsidR="002B44DA" w:rsidRPr="00C03A20" w:rsidRDefault="00166B4A" w:rsidP="00C03A20">
      <w:pPr>
        <w:spacing w:after="0"/>
        <w:jc w:val="both"/>
        <w:rPr>
          <w:rFonts w:ascii="Times New Roman" w:hAnsi="Times New Roman"/>
          <w:spacing w:val="-4"/>
          <w:sz w:val="28"/>
          <w:szCs w:val="28"/>
          <w:lang w:val="sq-AL"/>
        </w:rPr>
      </w:pPr>
      <w:r w:rsidRPr="00C03A20">
        <w:rPr>
          <w:rFonts w:ascii="Times New Roman" w:hAnsi="Times New Roman"/>
          <w:b/>
          <w:bCs/>
          <w:spacing w:val="-4"/>
          <w:sz w:val="28"/>
          <w:szCs w:val="28"/>
          <w:lang w:val="sq-AL"/>
        </w:rPr>
        <w:t>KREU VII</w:t>
      </w:r>
      <w:r w:rsidR="0062142E" w:rsidRPr="00C03A20">
        <w:rPr>
          <w:rFonts w:ascii="Times New Roman" w:hAnsi="Times New Roman"/>
          <w:b/>
          <w:bCs/>
          <w:spacing w:val="-4"/>
          <w:sz w:val="28"/>
          <w:szCs w:val="28"/>
          <w:lang w:val="sq-AL"/>
        </w:rPr>
        <w:t xml:space="preserve"> </w:t>
      </w:r>
      <w:r w:rsidR="0062142E" w:rsidRPr="00C03A20">
        <w:rPr>
          <w:rFonts w:ascii="Times New Roman" w:hAnsi="Times New Roman"/>
          <w:spacing w:val="-4"/>
          <w:sz w:val="28"/>
          <w:szCs w:val="28"/>
          <w:lang w:val="sq-AL"/>
        </w:rPr>
        <w:t>“</w:t>
      </w:r>
      <w:r w:rsidR="004C38DC" w:rsidRPr="00C03A20">
        <w:rPr>
          <w:rFonts w:ascii="Times New Roman" w:hAnsi="Times New Roman"/>
          <w:i/>
          <w:iCs/>
          <w:spacing w:val="-4"/>
          <w:sz w:val="28"/>
          <w:szCs w:val="28"/>
          <w:lang w:val="sq-AL"/>
        </w:rPr>
        <w:t xml:space="preserve">Njohja </w:t>
      </w:r>
      <w:r w:rsidR="00111DDC" w:rsidRPr="00C03A20">
        <w:rPr>
          <w:rFonts w:ascii="Times New Roman" w:hAnsi="Times New Roman"/>
          <w:i/>
          <w:iCs/>
          <w:spacing w:val="-4"/>
          <w:sz w:val="28"/>
          <w:szCs w:val="28"/>
          <w:lang w:val="sq-AL"/>
        </w:rPr>
        <w:t>dhe zbatimi vendimeve të gjykatës së arb</w:t>
      </w:r>
      <w:r w:rsidR="004C38DC" w:rsidRPr="00C03A20">
        <w:rPr>
          <w:rFonts w:ascii="Times New Roman" w:hAnsi="Times New Roman"/>
          <w:i/>
          <w:iCs/>
          <w:spacing w:val="-4"/>
          <w:sz w:val="28"/>
          <w:szCs w:val="28"/>
          <w:lang w:val="sq-AL"/>
        </w:rPr>
        <w:t>itrazhit</w:t>
      </w:r>
      <w:r w:rsidR="0062142E" w:rsidRPr="00C03A20">
        <w:rPr>
          <w:rFonts w:ascii="Times New Roman" w:hAnsi="Times New Roman"/>
          <w:spacing w:val="-4"/>
          <w:sz w:val="28"/>
          <w:szCs w:val="28"/>
          <w:lang w:val="sq-AL"/>
        </w:rPr>
        <w:t>”</w:t>
      </w:r>
      <w:r w:rsidR="004E159D" w:rsidRPr="00C03A20">
        <w:rPr>
          <w:rFonts w:ascii="Times New Roman" w:hAnsi="Times New Roman"/>
          <w:spacing w:val="-4"/>
          <w:sz w:val="28"/>
          <w:szCs w:val="28"/>
          <w:lang w:val="sq-AL"/>
        </w:rPr>
        <w:t xml:space="preserve"> përcakton</w:t>
      </w:r>
      <w:r w:rsidR="007E4B21" w:rsidRPr="00C03A20">
        <w:rPr>
          <w:rFonts w:ascii="Times New Roman" w:hAnsi="Times New Roman"/>
          <w:spacing w:val="-4"/>
          <w:sz w:val="28"/>
          <w:szCs w:val="28"/>
          <w:lang w:val="sq-AL"/>
        </w:rPr>
        <w:t xml:space="preserve"> juridiksionin </w:t>
      </w:r>
      <w:r w:rsidR="008D1FDA" w:rsidRPr="00C03A20">
        <w:rPr>
          <w:rFonts w:ascii="Times New Roman" w:hAnsi="Times New Roman"/>
          <w:spacing w:val="-4"/>
          <w:sz w:val="28"/>
          <w:szCs w:val="28"/>
          <w:lang w:val="sq-AL"/>
        </w:rPr>
        <w:t>gjyq</w:t>
      </w:r>
      <w:r w:rsidR="002565EE" w:rsidRPr="00C03A20">
        <w:rPr>
          <w:rFonts w:ascii="Times New Roman" w:hAnsi="Times New Roman"/>
          <w:spacing w:val="-4"/>
          <w:sz w:val="28"/>
          <w:szCs w:val="28"/>
          <w:lang w:val="sq-AL"/>
        </w:rPr>
        <w:t>ë</w:t>
      </w:r>
      <w:r w:rsidR="008D1FDA" w:rsidRPr="00C03A20">
        <w:rPr>
          <w:rFonts w:ascii="Times New Roman" w:hAnsi="Times New Roman"/>
          <w:spacing w:val="-4"/>
          <w:sz w:val="28"/>
          <w:szCs w:val="28"/>
          <w:lang w:val="sq-AL"/>
        </w:rPr>
        <w:t xml:space="preserve">sor </w:t>
      </w:r>
      <w:r w:rsidR="00F96BDA" w:rsidRPr="00C03A20">
        <w:rPr>
          <w:rFonts w:ascii="Times New Roman" w:hAnsi="Times New Roman"/>
          <w:spacing w:val="-4"/>
          <w:sz w:val="28"/>
          <w:szCs w:val="28"/>
          <w:lang w:val="sq-AL"/>
        </w:rPr>
        <w:t>n</w:t>
      </w:r>
      <w:r w:rsidR="002565EE" w:rsidRPr="00C03A20">
        <w:rPr>
          <w:rFonts w:ascii="Times New Roman" w:hAnsi="Times New Roman"/>
          <w:spacing w:val="-4"/>
          <w:sz w:val="28"/>
          <w:szCs w:val="28"/>
          <w:lang w:val="sq-AL"/>
        </w:rPr>
        <w:t>ë</w:t>
      </w:r>
      <w:r w:rsidR="00F96BDA" w:rsidRPr="00C03A20">
        <w:rPr>
          <w:rFonts w:ascii="Times New Roman" w:hAnsi="Times New Roman"/>
          <w:spacing w:val="-4"/>
          <w:sz w:val="28"/>
          <w:szCs w:val="28"/>
          <w:lang w:val="sq-AL"/>
        </w:rPr>
        <w:t xml:space="preserve"> lidhje me arbitrazhin dhe </w:t>
      </w:r>
      <w:r w:rsidR="00A15A9B" w:rsidRPr="00C03A20">
        <w:rPr>
          <w:rFonts w:ascii="Times New Roman" w:hAnsi="Times New Roman"/>
          <w:spacing w:val="-4"/>
          <w:sz w:val="28"/>
          <w:szCs w:val="28"/>
          <w:lang w:val="sq-AL"/>
        </w:rPr>
        <w:t>procedur</w:t>
      </w:r>
      <w:r w:rsidR="002565EE" w:rsidRPr="00C03A20">
        <w:rPr>
          <w:rFonts w:ascii="Times New Roman" w:hAnsi="Times New Roman"/>
          <w:spacing w:val="-4"/>
          <w:sz w:val="28"/>
          <w:szCs w:val="28"/>
          <w:lang w:val="sq-AL"/>
        </w:rPr>
        <w:t>ë</w:t>
      </w:r>
      <w:r w:rsidR="00A15A9B" w:rsidRPr="00C03A20">
        <w:rPr>
          <w:rFonts w:ascii="Times New Roman" w:hAnsi="Times New Roman"/>
          <w:spacing w:val="-4"/>
          <w:sz w:val="28"/>
          <w:szCs w:val="28"/>
          <w:lang w:val="sq-AL"/>
        </w:rPr>
        <w:t xml:space="preserve">n e ndjekur </w:t>
      </w:r>
      <w:r w:rsidR="006378B3" w:rsidRPr="00C03A20">
        <w:rPr>
          <w:rFonts w:ascii="Times New Roman" w:hAnsi="Times New Roman"/>
          <w:spacing w:val="-4"/>
          <w:sz w:val="28"/>
          <w:szCs w:val="28"/>
          <w:lang w:val="sq-AL"/>
        </w:rPr>
        <w:t>nga Gjykata n</w:t>
      </w:r>
      <w:r w:rsidR="002565EE" w:rsidRPr="00C03A20">
        <w:rPr>
          <w:rFonts w:ascii="Times New Roman" w:hAnsi="Times New Roman"/>
          <w:spacing w:val="-4"/>
          <w:sz w:val="28"/>
          <w:szCs w:val="28"/>
          <w:lang w:val="sq-AL"/>
        </w:rPr>
        <w:t>ë</w:t>
      </w:r>
      <w:r w:rsidR="006378B3" w:rsidRPr="00C03A20">
        <w:rPr>
          <w:rFonts w:ascii="Times New Roman" w:hAnsi="Times New Roman"/>
          <w:spacing w:val="-4"/>
          <w:sz w:val="28"/>
          <w:szCs w:val="28"/>
          <w:lang w:val="sq-AL"/>
        </w:rPr>
        <w:t xml:space="preserve"> pajtim me k</w:t>
      </w:r>
      <w:r w:rsidR="002565EE" w:rsidRPr="00C03A20">
        <w:rPr>
          <w:rFonts w:ascii="Times New Roman" w:hAnsi="Times New Roman"/>
          <w:spacing w:val="-4"/>
          <w:sz w:val="28"/>
          <w:szCs w:val="28"/>
          <w:lang w:val="sq-AL"/>
        </w:rPr>
        <w:t>ë</w:t>
      </w:r>
      <w:r w:rsidR="006378B3" w:rsidRPr="00C03A20">
        <w:rPr>
          <w:rFonts w:ascii="Times New Roman" w:hAnsi="Times New Roman"/>
          <w:spacing w:val="-4"/>
          <w:sz w:val="28"/>
          <w:szCs w:val="28"/>
          <w:lang w:val="sq-AL"/>
        </w:rPr>
        <w:t>t</w:t>
      </w:r>
      <w:r w:rsidR="002565EE" w:rsidRPr="00C03A20">
        <w:rPr>
          <w:rFonts w:ascii="Times New Roman" w:hAnsi="Times New Roman"/>
          <w:spacing w:val="-4"/>
          <w:sz w:val="28"/>
          <w:szCs w:val="28"/>
          <w:lang w:val="sq-AL"/>
        </w:rPr>
        <w:t>ë</w:t>
      </w:r>
      <w:r w:rsidR="006378B3" w:rsidRPr="00C03A20">
        <w:rPr>
          <w:rFonts w:ascii="Times New Roman" w:hAnsi="Times New Roman"/>
          <w:spacing w:val="-4"/>
          <w:sz w:val="28"/>
          <w:szCs w:val="28"/>
          <w:lang w:val="sq-AL"/>
        </w:rPr>
        <w:t xml:space="preserve"> ligj si dhe Kodin e Procedur</w:t>
      </w:r>
      <w:r w:rsidR="002565EE" w:rsidRPr="00C03A20">
        <w:rPr>
          <w:rFonts w:ascii="Times New Roman" w:hAnsi="Times New Roman"/>
          <w:spacing w:val="-4"/>
          <w:sz w:val="28"/>
          <w:szCs w:val="28"/>
          <w:lang w:val="sq-AL"/>
        </w:rPr>
        <w:t>ë</w:t>
      </w:r>
      <w:r w:rsidR="006378B3" w:rsidRPr="00C03A20">
        <w:rPr>
          <w:rFonts w:ascii="Times New Roman" w:hAnsi="Times New Roman"/>
          <w:spacing w:val="-4"/>
          <w:sz w:val="28"/>
          <w:szCs w:val="28"/>
          <w:lang w:val="sq-AL"/>
        </w:rPr>
        <w:t xml:space="preserve">s Civile, </w:t>
      </w:r>
      <w:r w:rsidR="002B62D2" w:rsidRPr="00C03A20">
        <w:rPr>
          <w:rFonts w:ascii="Times New Roman" w:hAnsi="Times New Roman"/>
          <w:spacing w:val="-4"/>
          <w:sz w:val="28"/>
          <w:szCs w:val="28"/>
          <w:lang w:val="sq-AL"/>
        </w:rPr>
        <w:t>ekzekutimin e vendimeve t</w:t>
      </w:r>
      <w:r w:rsidR="002565EE" w:rsidRPr="00C03A20">
        <w:rPr>
          <w:rFonts w:ascii="Times New Roman" w:hAnsi="Times New Roman"/>
          <w:spacing w:val="-4"/>
          <w:sz w:val="28"/>
          <w:szCs w:val="28"/>
          <w:lang w:val="sq-AL"/>
        </w:rPr>
        <w:t>ë</w:t>
      </w:r>
      <w:r w:rsidR="002B62D2" w:rsidRPr="00C03A20">
        <w:rPr>
          <w:rFonts w:ascii="Times New Roman" w:hAnsi="Times New Roman"/>
          <w:spacing w:val="-4"/>
          <w:sz w:val="28"/>
          <w:szCs w:val="28"/>
          <w:lang w:val="sq-AL"/>
        </w:rPr>
        <w:t xml:space="preserve"> arbitrazhit vendas</w:t>
      </w:r>
      <w:r w:rsidR="0014307B" w:rsidRPr="00C03A20">
        <w:rPr>
          <w:rFonts w:ascii="Times New Roman" w:hAnsi="Times New Roman"/>
          <w:spacing w:val="-4"/>
          <w:sz w:val="28"/>
          <w:szCs w:val="28"/>
          <w:lang w:val="sq-AL"/>
        </w:rPr>
        <w:t xml:space="preserve"> si</w:t>
      </w:r>
      <w:r w:rsidR="002B62D2" w:rsidRPr="00C03A20">
        <w:rPr>
          <w:rFonts w:ascii="Times New Roman" w:hAnsi="Times New Roman"/>
          <w:spacing w:val="-4"/>
          <w:sz w:val="28"/>
          <w:szCs w:val="28"/>
          <w:lang w:val="sq-AL"/>
        </w:rPr>
        <w:t xml:space="preserve"> </w:t>
      </w:r>
      <w:r w:rsidR="0014307B" w:rsidRPr="00C03A20">
        <w:rPr>
          <w:rFonts w:ascii="Times New Roman" w:hAnsi="Times New Roman"/>
          <w:spacing w:val="-4"/>
          <w:sz w:val="28"/>
          <w:szCs w:val="28"/>
          <w:lang w:val="sq-AL"/>
        </w:rPr>
        <w:t>dhe</w:t>
      </w:r>
      <w:r w:rsidR="002B62D2" w:rsidRPr="00C03A20">
        <w:rPr>
          <w:rFonts w:ascii="Times New Roman" w:hAnsi="Times New Roman"/>
          <w:spacing w:val="-4"/>
          <w:sz w:val="28"/>
          <w:szCs w:val="28"/>
          <w:lang w:val="sq-AL"/>
        </w:rPr>
        <w:t xml:space="preserve"> vendimet e arbitrazhit t</w:t>
      </w:r>
      <w:r w:rsidR="002565EE" w:rsidRPr="00C03A20">
        <w:rPr>
          <w:rFonts w:ascii="Times New Roman" w:hAnsi="Times New Roman"/>
          <w:spacing w:val="-4"/>
          <w:sz w:val="28"/>
          <w:szCs w:val="28"/>
          <w:lang w:val="sq-AL"/>
        </w:rPr>
        <w:t>ë</w:t>
      </w:r>
      <w:r w:rsidR="002B62D2" w:rsidRPr="00C03A20">
        <w:rPr>
          <w:rFonts w:ascii="Times New Roman" w:hAnsi="Times New Roman"/>
          <w:spacing w:val="-4"/>
          <w:sz w:val="28"/>
          <w:szCs w:val="28"/>
          <w:lang w:val="sq-AL"/>
        </w:rPr>
        <w:t xml:space="preserve"> huaj</w:t>
      </w:r>
      <w:r w:rsidR="002B31E7" w:rsidRPr="00C03A20">
        <w:rPr>
          <w:rFonts w:ascii="Times New Roman" w:hAnsi="Times New Roman"/>
          <w:spacing w:val="-4"/>
          <w:sz w:val="28"/>
          <w:szCs w:val="28"/>
          <w:lang w:val="sq-AL"/>
        </w:rPr>
        <w:t>,</w:t>
      </w:r>
      <w:r w:rsidR="006378B3" w:rsidRPr="00C03A20">
        <w:rPr>
          <w:rFonts w:ascii="Times New Roman" w:hAnsi="Times New Roman"/>
          <w:spacing w:val="-4"/>
          <w:sz w:val="28"/>
          <w:szCs w:val="28"/>
          <w:lang w:val="sq-AL"/>
        </w:rPr>
        <w:t xml:space="preserve"> </w:t>
      </w:r>
      <w:r w:rsidR="002B44DA" w:rsidRPr="00C03A20">
        <w:rPr>
          <w:rFonts w:ascii="Times New Roman" w:hAnsi="Times New Roman"/>
          <w:spacing w:val="-4"/>
          <w:sz w:val="28"/>
          <w:szCs w:val="28"/>
          <w:lang w:val="sq-AL"/>
        </w:rPr>
        <w:t xml:space="preserve">në përputhje me parashikimet e neneve </w:t>
      </w:r>
      <w:r w:rsidR="00046612" w:rsidRPr="00C03A20">
        <w:rPr>
          <w:rFonts w:ascii="Times New Roman" w:hAnsi="Times New Roman"/>
          <w:spacing w:val="-4"/>
          <w:sz w:val="28"/>
          <w:szCs w:val="28"/>
          <w:lang w:val="sq-AL"/>
        </w:rPr>
        <w:t>35 dhe 36</w:t>
      </w:r>
      <w:r w:rsidR="002B44DA" w:rsidRPr="00C03A20">
        <w:rPr>
          <w:rFonts w:ascii="Times New Roman" w:hAnsi="Times New Roman"/>
          <w:spacing w:val="-4"/>
          <w:sz w:val="28"/>
          <w:szCs w:val="28"/>
          <w:lang w:val="sq-AL"/>
        </w:rPr>
        <w:t xml:space="preserve"> të ligjit model UNCITRAL dhe </w:t>
      </w:r>
      <w:r w:rsidR="00B455C6" w:rsidRPr="00C03A20">
        <w:rPr>
          <w:rFonts w:ascii="Times New Roman" w:hAnsi="Times New Roman"/>
          <w:spacing w:val="-4"/>
          <w:sz w:val="28"/>
          <w:szCs w:val="28"/>
          <w:lang w:val="sq-AL"/>
        </w:rPr>
        <w:t>bazuar n</w:t>
      </w:r>
      <w:r w:rsidR="002565EE" w:rsidRPr="00C03A20">
        <w:rPr>
          <w:rFonts w:ascii="Times New Roman" w:hAnsi="Times New Roman"/>
          <w:spacing w:val="-4"/>
          <w:sz w:val="28"/>
          <w:szCs w:val="28"/>
          <w:lang w:val="sq-AL"/>
        </w:rPr>
        <w:t>ë</w:t>
      </w:r>
      <w:r w:rsidR="002B44DA" w:rsidRPr="00C03A20">
        <w:rPr>
          <w:rFonts w:ascii="Times New Roman" w:hAnsi="Times New Roman"/>
          <w:spacing w:val="-4"/>
          <w:sz w:val="28"/>
          <w:szCs w:val="28"/>
          <w:lang w:val="sq-AL"/>
        </w:rPr>
        <w:t xml:space="preserve"> dispozitat mbi arbitrazhin të Austrisë, Gjermanisë, Italisë, Kroacisë, Polonisë dhe Sllovenisë.</w:t>
      </w:r>
    </w:p>
    <w:p w:rsidR="006936C9" w:rsidRPr="00C03A20" w:rsidRDefault="006936C9" w:rsidP="00C03A20">
      <w:pPr>
        <w:spacing w:after="0"/>
        <w:jc w:val="both"/>
        <w:rPr>
          <w:rFonts w:ascii="Times New Roman" w:hAnsi="Times New Roman"/>
          <w:spacing w:val="-4"/>
          <w:sz w:val="28"/>
          <w:szCs w:val="28"/>
          <w:lang w:val="sq-AL"/>
        </w:rPr>
      </w:pPr>
    </w:p>
    <w:p w:rsidR="006936C9" w:rsidRPr="00C03A20" w:rsidRDefault="005A71AC"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Neni 51,</w:t>
      </w:r>
      <w:r w:rsidR="006936C9" w:rsidRPr="00C03A20">
        <w:rPr>
          <w:rFonts w:ascii="Times New Roman" w:hAnsi="Times New Roman"/>
          <w:spacing w:val="-4"/>
          <w:sz w:val="28"/>
          <w:szCs w:val="28"/>
          <w:lang w:val="sq-AL"/>
        </w:rPr>
        <w:t xml:space="preserve"> i projektligjit </w:t>
      </w:r>
      <w:r w:rsidR="00F20B9C" w:rsidRPr="00C03A20">
        <w:rPr>
          <w:rFonts w:ascii="Times New Roman" w:hAnsi="Times New Roman"/>
          <w:spacing w:val="-4"/>
          <w:sz w:val="28"/>
          <w:szCs w:val="28"/>
          <w:lang w:val="sq-AL"/>
        </w:rPr>
        <w:t>p</w:t>
      </w:r>
      <w:r w:rsidR="002565EE" w:rsidRPr="00C03A20">
        <w:rPr>
          <w:rFonts w:ascii="Times New Roman" w:hAnsi="Times New Roman"/>
          <w:spacing w:val="-4"/>
          <w:sz w:val="28"/>
          <w:szCs w:val="28"/>
          <w:lang w:val="sq-AL"/>
        </w:rPr>
        <w:t>ë</w:t>
      </w:r>
      <w:r w:rsidR="00F20B9C" w:rsidRPr="00C03A20">
        <w:rPr>
          <w:rFonts w:ascii="Times New Roman" w:hAnsi="Times New Roman"/>
          <w:spacing w:val="-4"/>
          <w:sz w:val="28"/>
          <w:szCs w:val="28"/>
          <w:lang w:val="sq-AL"/>
        </w:rPr>
        <w:t>rmban parashikime p</w:t>
      </w:r>
      <w:r w:rsidR="002565EE" w:rsidRPr="00C03A20">
        <w:rPr>
          <w:rFonts w:ascii="Times New Roman" w:hAnsi="Times New Roman"/>
          <w:spacing w:val="-4"/>
          <w:sz w:val="28"/>
          <w:szCs w:val="28"/>
          <w:lang w:val="sq-AL"/>
        </w:rPr>
        <w:t>ë</w:t>
      </w:r>
      <w:r w:rsidR="00F20B9C" w:rsidRPr="00C03A20">
        <w:rPr>
          <w:rFonts w:ascii="Times New Roman" w:hAnsi="Times New Roman"/>
          <w:spacing w:val="-4"/>
          <w:sz w:val="28"/>
          <w:szCs w:val="28"/>
          <w:lang w:val="sq-AL"/>
        </w:rPr>
        <w:t xml:space="preserve">r </w:t>
      </w:r>
      <w:r w:rsidR="00632665" w:rsidRPr="00C03A20">
        <w:rPr>
          <w:rFonts w:ascii="Times New Roman" w:hAnsi="Times New Roman"/>
          <w:spacing w:val="-4"/>
          <w:sz w:val="28"/>
          <w:szCs w:val="28"/>
          <w:lang w:val="sq-AL"/>
        </w:rPr>
        <w:t>ekzekutimin e vendimit t</w:t>
      </w:r>
      <w:r w:rsidR="002565EE" w:rsidRPr="00C03A20">
        <w:rPr>
          <w:rFonts w:ascii="Times New Roman" w:hAnsi="Times New Roman"/>
          <w:spacing w:val="-4"/>
          <w:sz w:val="28"/>
          <w:szCs w:val="28"/>
          <w:lang w:val="sq-AL"/>
        </w:rPr>
        <w:t>ë</w:t>
      </w:r>
      <w:r w:rsidR="00632665" w:rsidRPr="00C03A20">
        <w:rPr>
          <w:rFonts w:ascii="Times New Roman" w:hAnsi="Times New Roman"/>
          <w:spacing w:val="-4"/>
          <w:sz w:val="28"/>
          <w:szCs w:val="28"/>
          <w:lang w:val="sq-AL"/>
        </w:rPr>
        <w:t xml:space="preserve"> </w:t>
      </w:r>
      <w:r w:rsidR="00BE17B7" w:rsidRPr="00C03A20">
        <w:rPr>
          <w:rFonts w:ascii="Times New Roman" w:hAnsi="Times New Roman"/>
          <w:spacing w:val="-4"/>
          <w:sz w:val="28"/>
          <w:szCs w:val="28"/>
          <w:lang w:val="sq-AL"/>
        </w:rPr>
        <w:t>dh</w:t>
      </w:r>
      <w:r w:rsidR="002565EE" w:rsidRPr="00C03A20">
        <w:rPr>
          <w:rFonts w:ascii="Times New Roman" w:hAnsi="Times New Roman"/>
          <w:spacing w:val="-4"/>
          <w:sz w:val="28"/>
          <w:szCs w:val="28"/>
          <w:lang w:val="sq-AL"/>
        </w:rPr>
        <w:t>ë</w:t>
      </w:r>
      <w:r w:rsidR="00BE17B7" w:rsidRPr="00C03A20">
        <w:rPr>
          <w:rFonts w:ascii="Times New Roman" w:hAnsi="Times New Roman"/>
          <w:spacing w:val="-4"/>
          <w:sz w:val="28"/>
          <w:szCs w:val="28"/>
          <w:lang w:val="sq-AL"/>
        </w:rPr>
        <w:t>n</w:t>
      </w:r>
      <w:r w:rsidR="002565EE" w:rsidRPr="00C03A20">
        <w:rPr>
          <w:rFonts w:ascii="Times New Roman" w:hAnsi="Times New Roman"/>
          <w:spacing w:val="-4"/>
          <w:sz w:val="28"/>
          <w:szCs w:val="28"/>
          <w:lang w:val="sq-AL"/>
        </w:rPr>
        <w:t>ë</w:t>
      </w:r>
      <w:r w:rsidR="00BE17B7" w:rsidRPr="00C03A20">
        <w:rPr>
          <w:rFonts w:ascii="Times New Roman" w:hAnsi="Times New Roman"/>
          <w:spacing w:val="-4"/>
          <w:sz w:val="28"/>
          <w:szCs w:val="28"/>
          <w:lang w:val="sq-AL"/>
        </w:rPr>
        <w:t xml:space="preserve"> nga nj</w:t>
      </w:r>
      <w:r w:rsidR="002565EE" w:rsidRPr="00C03A20">
        <w:rPr>
          <w:rFonts w:ascii="Times New Roman" w:hAnsi="Times New Roman"/>
          <w:spacing w:val="-4"/>
          <w:sz w:val="28"/>
          <w:szCs w:val="28"/>
          <w:lang w:val="sq-AL"/>
        </w:rPr>
        <w:t>ë</w:t>
      </w:r>
      <w:r w:rsidR="00BE17B7" w:rsidRPr="00C03A20">
        <w:rPr>
          <w:rFonts w:ascii="Times New Roman" w:hAnsi="Times New Roman"/>
          <w:spacing w:val="-4"/>
          <w:sz w:val="28"/>
          <w:szCs w:val="28"/>
          <w:lang w:val="sq-AL"/>
        </w:rPr>
        <w:t xml:space="preserve"> gjykat</w:t>
      </w:r>
      <w:r w:rsidR="002565EE" w:rsidRPr="00C03A20">
        <w:rPr>
          <w:rFonts w:ascii="Times New Roman" w:hAnsi="Times New Roman"/>
          <w:spacing w:val="-4"/>
          <w:sz w:val="28"/>
          <w:szCs w:val="28"/>
          <w:lang w:val="sq-AL"/>
        </w:rPr>
        <w:t>ë</w:t>
      </w:r>
      <w:r w:rsidR="00BE17B7" w:rsidRPr="00C03A20">
        <w:rPr>
          <w:rFonts w:ascii="Times New Roman" w:hAnsi="Times New Roman"/>
          <w:spacing w:val="-4"/>
          <w:sz w:val="28"/>
          <w:szCs w:val="28"/>
          <w:lang w:val="sq-AL"/>
        </w:rPr>
        <w:t xml:space="preserve"> arbitrazhi vendase </w:t>
      </w:r>
      <w:r w:rsidR="001C295E" w:rsidRPr="00C03A20">
        <w:rPr>
          <w:rFonts w:ascii="Times New Roman" w:hAnsi="Times New Roman"/>
          <w:spacing w:val="-4"/>
          <w:sz w:val="28"/>
          <w:szCs w:val="28"/>
          <w:lang w:val="sq-AL"/>
        </w:rPr>
        <w:t>n</w:t>
      </w:r>
      <w:r w:rsidR="002565EE" w:rsidRPr="00C03A20">
        <w:rPr>
          <w:rFonts w:ascii="Times New Roman" w:hAnsi="Times New Roman"/>
          <w:spacing w:val="-4"/>
          <w:sz w:val="28"/>
          <w:szCs w:val="28"/>
          <w:lang w:val="sq-AL"/>
        </w:rPr>
        <w:t>ë</w:t>
      </w:r>
      <w:r w:rsidR="001C295E" w:rsidRPr="00C03A20">
        <w:rPr>
          <w:rFonts w:ascii="Times New Roman" w:hAnsi="Times New Roman"/>
          <w:spacing w:val="-4"/>
          <w:sz w:val="28"/>
          <w:szCs w:val="28"/>
          <w:lang w:val="sq-AL"/>
        </w:rPr>
        <w:t xml:space="preserve"> momentin kur Gjykata </w:t>
      </w:r>
      <w:r w:rsidR="009E6084" w:rsidRPr="00C03A20">
        <w:rPr>
          <w:rFonts w:ascii="Times New Roman" w:hAnsi="Times New Roman"/>
          <w:spacing w:val="-4"/>
          <w:sz w:val="28"/>
          <w:szCs w:val="28"/>
          <w:lang w:val="sq-AL"/>
        </w:rPr>
        <w:t>l</w:t>
      </w:r>
      <w:r w:rsidR="002565EE" w:rsidRPr="00C03A20">
        <w:rPr>
          <w:rFonts w:ascii="Times New Roman" w:hAnsi="Times New Roman"/>
          <w:spacing w:val="-4"/>
          <w:sz w:val="28"/>
          <w:szCs w:val="28"/>
          <w:lang w:val="sq-AL"/>
        </w:rPr>
        <w:t>ë</w:t>
      </w:r>
      <w:r w:rsidR="009E6084" w:rsidRPr="00C03A20">
        <w:rPr>
          <w:rFonts w:ascii="Times New Roman" w:hAnsi="Times New Roman"/>
          <w:spacing w:val="-4"/>
          <w:sz w:val="28"/>
          <w:szCs w:val="28"/>
          <w:lang w:val="sq-AL"/>
        </w:rPr>
        <w:t>shon</w:t>
      </w:r>
      <w:r w:rsidR="007E3003" w:rsidRPr="00C03A20">
        <w:rPr>
          <w:rFonts w:ascii="Times New Roman" w:hAnsi="Times New Roman"/>
          <w:spacing w:val="-4"/>
          <w:sz w:val="28"/>
          <w:szCs w:val="28"/>
          <w:lang w:val="sq-AL"/>
        </w:rPr>
        <w:t xml:space="preserve"> urdhrin e ekzekutimit në përputhje me parashikimet e </w:t>
      </w:r>
      <w:r w:rsidR="009E6084" w:rsidRPr="00C03A20">
        <w:rPr>
          <w:rFonts w:ascii="Times New Roman" w:hAnsi="Times New Roman"/>
          <w:spacing w:val="-4"/>
          <w:sz w:val="28"/>
          <w:szCs w:val="28"/>
          <w:lang w:val="sq-AL"/>
        </w:rPr>
        <w:t xml:space="preserve">nenit </w:t>
      </w:r>
      <w:r w:rsidR="001F44D8" w:rsidRPr="00C03A20">
        <w:rPr>
          <w:rFonts w:ascii="Times New Roman" w:hAnsi="Times New Roman"/>
          <w:spacing w:val="-4"/>
          <w:sz w:val="28"/>
          <w:szCs w:val="28"/>
          <w:lang w:val="sq-AL"/>
        </w:rPr>
        <w:t xml:space="preserve">510, paragrafi 2, shkronja </w:t>
      </w:r>
      <w:r w:rsidR="006705B7" w:rsidRPr="00C03A20">
        <w:rPr>
          <w:rFonts w:ascii="Times New Roman" w:hAnsi="Times New Roman"/>
          <w:spacing w:val="-4"/>
          <w:sz w:val="28"/>
          <w:szCs w:val="28"/>
          <w:lang w:val="sq-AL"/>
        </w:rPr>
        <w:t>“ç” K</w:t>
      </w:r>
      <w:r w:rsidRPr="00C03A20">
        <w:rPr>
          <w:rFonts w:ascii="Times New Roman" w:hAnsi="Times New Roman"/>
          <w:spacing w:val="-4"/>
          <w:sz w:val="28"/>
          <w:szCs w:val="28"/>
          <w:lang w:val="sq-AL"/>
        </w:rPr>
        <w:t>.</w:t>
      </w:r>
      <w:r w:rsidR="006705B7" w:rsidRPr="00C03A20">
        <w:rPr>
          <w:rFonts w:ascii="Times New Roman" w:hAnsi="Times New Roman"/>
          <w:spacing w:val="-4"/>
          <w:sz w:val="28"/>
          <w:szCs w:val="28"/>
          <w:lang w:val="sq-AL"/>
        </w:rPr>
        <w:t>Pr</w:t>
      </w:r>
      <w:r w:rsidRPr="00C03A20">
        <w:rPr>
          <w:rFonts w:ascii="Times New Roman" w:hAnsi="Times New Roman"/>
          <w:spacing w:val="-4"/>
          <w:sz w:val="28"/>
          <w:szCs w:val="28"/>
          <w:lang w:val="sq-AL"/>
        </w:rPr>
        <w:t>.</w:t>
      </w:r>
      <w:r w:rsidR="006705B7" w:rsidRPr="00C03A20">
        <w:rPr>
          <w:rFonts w:ascii="Times New Roman" w:hAnsi="Times New Roman"/>
          <w:spacing w:val="-4"/>
          <w:sz w:val="28"/>
          <w:szCs w:val="28"/>
          <w:lang w:val="sq-AL"/>
        </w:rPr>
        <w:t>C</w:t>
      </w:r>
      <w:r w:rsidR="007E3003" w:rsidRPr="00C03A20">
        <w:rPr>
          <w:rFonts w:ascii="Times New Roman" w:hAnsi="Times New Roman"/>
          <w:spacing w:val="-4"/>
          <w:sz w:val="28"/>
          <w:szCs w:val="28"/>
          <w:lang w:val="sq-AL"/>
        </w:rPr>
        <w:t>.</w:t>
      </w:r>
    </w:p>
    <w:p w:rsidR="00A35E16" w:rsidRPr="00C03A20" w:rsidRDefault="00A35E16" w:rsidP="00C03A20">
      <w:pPr>
        <w:spacing w:after="0"/>
        <w:jc w:val="both"/>
        <w:rPr>
          <w:rFonts w:ascii="Times New Roman" w:hAnsi="Times New Roman"/>
          <w:spacing w:val="-4"/>
          <w:sz w:val="28"/>
          <w:szCs w:val="28"/>
          <w:lang w:val="sq-AL"/>
        </w:rPr>
      </w:pPr>
    </w:p>
    <w:p w:rsidR="009478BF" w:rsidRPr="00C03A20" w:rsidRDefault="00A35E16"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 xml:space="preserve">Neni </w:t>
      </w:r>
      <w:r w:rsidR="005A71AC" w:rsidRPr="00C03A20">
        <w:rPr>
          <w:rFonts w:ascii="Times New Roman" w:hAnsi="Times New Roman"/>
          <w:spacing w:val="-4"/>
          <w:sz w:val="28"/>
          <w:szCs w:val="28"/>
          <w:lang w:val="sq-AL"/>
        </w:rPr>
        <w:t>52,</w:t>
      </w:r>
      <w:r w:rsidRPr="00C03A20">
        <w:rPr>
          <w:rFonts w:ascii="Times New Roman" w:hAnsi="Times New Roman"/>
          <w:spacing w:val="-4"/>
          <w:sz w:val="28"/>
          <w:szCs w:val="28"/>
          <w:lang w:val="sq-AL"/>
        </w:rPr>
        <w:t xml:space="preserve"> </w:t>
      </w:r>
      <w:r w:rsidR="00D16352" w:rsidRPr="00C03A20">
        <w:rPr>
          <w:rFonts w:ascii="Times New Roman" w:hAnsi="Times New Roman"/>
          <w:spacing w:val="-4"/>
          <w:sz w:val="28"/>
          <w:szCs w:val="28"/>
          <w:lang w:val="sq-AL"/>
        </w:rPr>
        <w:t xml:space="preserve">parashikon se </w:t>
      </w:r>
      <w:r w:rsidR="00307B3A" w:rsidRPr="00C03A20">
        <w:rPr>
          <w:rFonts w:ascii="Times New Roman" w:hAnsi="Times New Roman"/>
          <w:spacing w:val="-4"/>
          <w:sz w:val="28"/>
          <w:szCs w:val="28"/>
          <w:lang w:val="sq-AL"/>
        </w:rPr>
        <w:t>v</w:t>
      </w:r>
      <w:r w:rsidR="005B2CA4" w:rsidRPr="00C03A20">
        <w:rPr>
          <w:rFonts w:ascii="Times New Roman" w:hAnsi="Times New Roman"/>
          <w:spacing w:val="-4"/>
          <w:sz w:val="28"/>
          <w:szCs w:val="28"/>
          <w:lang w:val="sq-AL"/>
        </w:rPr>
        <w:t>endimi i arbitrazhit i dhënë nga një gjykatë arbitrazhi të një shteti të huaj ose nga një gjykatë e arbitrazhit ndërkombëtar me vendndodhje jashtë territorit të Republikës së Shqipërisë mund të vihet në ekzekutim në momentin kur njihet me vendim të Gjykatës së Apelit</w:t>
      </w:r>
      <w:r w:rsidR="00307B3A" w:rsidRPr="00C03A20">
        <w:rPr>
          <w:rFonts w:ascii="Times New Roman" w:hAnsi="Times New Roman"/>
          <w:spacing w:val="-4"/>
          <w:sz w:val="28"/>
          <w:szCs w:val="28"/>
          <w:lang w:val="sq-AL"/>
        </w:rPr>
        <w:t>, n</w:t>
      </w:r>
      <w:r w:rsidR="002565EE" w:rsidRPr="00C03A20">
        <w:rPr>
          <w:rFonts w:ascii="Times New Roman" w:hAnsi="Times New Roman"/>
          <w:spacing w:val="-4"/>
          <w:sz w:val="28"/>
          <w:szCs w:val="28"/>
          <w:lang w:val="sq-AL"/>
        </w:rPr>
        <w:t>ë</w:t>
      </w:r>
      <w:r w:rsidR="00307B3A" w:rsidRPr="00C03A20">
        <w:rPr>
          <w:rFonts w:ascii="Times New Roman" w:hAnsi="Times New Roman"/>
          <w:spacing w:val="-4"/>
          <w:sz w:val="28"/>
          <w:szCs w:val="28"/>
          <w:lang w:val="sq-AL"/>
        </w:rPr>
        <w:t xml:space="preserve"> p</w:t>
      </w:r>
      <w:r w:rsidR="002565EE" w:rsidRPr="00C03A20">
        <w:rPr>
          <w:rFonts w:ascii="Times New Roman" w:hAnsi="Times New Roman"/>
          <w:spacing w:val="-4"/>
          <w:sz w:val="28"/>
          <w:szCs w:val="28"/>
          <w:lang w:val="sq-AL"/>
        </w:rPr>
        <w:t>ë</w:t>
      </w:r>
      <w:r w:rsidR="00307B3A" w:rsidRPr="00C03A20">
        <w:rPr>
          <w:rFonts w:ascii="Times New Roman" w:hAnsi="Times New Roman"/>
          <w:spacing w:val="-4"/>
          <w:sz w:val="28"/>
          <w:szCs w:val="28"/>
          <w:lang w:val="sq-AL"/>
        </w:rPr>
        <w:t>rputhje me neni</w:t>
      </w:r>
      <w:r w:rsidR="003E6F4E" w:rsidRPr="00C03A20">
        <w:rPr>
          <w:rFonts w:ascii="Times New Roman" w:hAnsi="Times New Roman"/>
          <w:spacing w:val="-4"/>
          <w:sz w:val="28"/>
          <w:szCs w:val="28"/>
          <w:lang w:val="sq-AL"/>
        </w:rPr>
        <w:t xml:space="preserve">n </w:t>
      </w:r>
      <w:r w:rsidR="005527F1" w:rsidRPr="00C03A20">
        <w:rPr>
          <w:rFonts w:ascii="Times New Roman" w:hAnsi="Times New Roman"/>
          <w:spacing w:val="-4"/>
          <w:sz w:val="28"/>
          <w:szCs w:val="28"/>
          <w:lang w:val="sq-AL"/>
        </w:rPr>
        <w:t>399 K</w:t>
      </w:r>
      <w:r w:rsidR="005A71AC" w:rsidRPr="00C03A20">
        <w:rPr>
          <w:rFonts w:ascii="Times New Roman" w:hAnsi="Times New Roman"/>
          <w:spacing w:val="-4"/>
          <w:sz w:val="28"/>
          <w:szCs w:val="28"/>
          <w:lang w:val="sq-AL"/>
        </w:rPr>
        <w:t>.</w:t>
      </w:r>
      <w:r w:rsidR="005527F1" w:rsidRPr="00C03A20">
        <w:rPr>
          <w:rFonts w:ascii="Times New Roman" w:hAnsi="Times New Roman"/>
          <w:spacing w:val="-4"/>
          <w:sz w:val="28"/>
          <w:szCs w:val="28"/>
          <w:lang w:val="sq-AL"/>
        </w:rPr>
        <w:t>Pr</w:t>
      </w:r>
      <w:r w:rsidR="005A71AC" w:rsidRPr="00C03A20">
        <w:rPr>
          <w:rFonts w:ascii="Times New Roman" w:hAnsi="Times New Roman"/>
          <w:spacing w:val="-4"/>
          <w:sz w:val="28"/>
          <w:szCs w:val="28"/>
          <w:lang w:val="sq-AL"/>
        </w:rPr>
        <w:t>.</w:t>
      </w:r>
      <w:r w:rsidR="005527F1" w:rsidRPr="00C03A20">
        <w:rPr>
          <w:rFonts w:ascii="Times New Roman" w:hAnsi="Times New Roman"/>
          <w:spacing w:val="-4"/>
          <w:sz w:val="28"/>
          <w:szCs w:val="28"/>
          <w:lang w:val="sq-AL"/>
        </w:rPr>
        <w:t>C dhe nenin</w:t>
      </w:r>
      <w:r w:rsidR="00307B3A" w:rsidRPr="00C03A20">
        <w:rPr>
          <w:rFonts w:ascii="Times New Roman" w:hAnsi="Times New Roman"/>
          <w:spacing w:val="-4"/>
          <w:sz w:val="28"/>
          <w:szCs w:val="28"/>
          <w:lang w:val="sq-AL"/>
        </w:rPr>
        <w:t xml:space="preserve"> 510, paragrafi 2, shkronja “c” K</w:t>
      </w:r>
      <w:r w:rsidR="005A71AC" w:rsidRPr="00C03A20">
        <w:rPr>
          <w:rFonts w:ascii="Times New Roman" w:hAnsi="Times New Roman"/>
          <w:spacing w:val="-4"/>
          <w:sz w:val="28"/>
          <w:szCs w:val="28"/>
          <w:lang w:val="sq-AL"/>
        </w:rPr>
        <w:t>.</w:t>
      </w:r>
      <w:r w:rsidR="00307B3A" w:rsidRPr="00C03A20">
        <w:rPr>
          <w:rFonts w:ascii="Times New Roman" w:hAnsi="Times New Roman"/>
          <w:spacing w:val="-4"/>
          <w:sz w:val="28"/>
          <w:szCs w:val="28"/>
          <w:lang w:val="sq-AL"/>
        </w:rPr>
        <w:t>Pr</w:t>
      </w:r>
      <w:r w:rsidR="005A71AC" w:rsidRPr="00C03A20">
        <w:rPr>
          <w:rFonts w:ascii="Times New Roman" w:hAnsi="Times New Roman"/>
          <w:spacing w:val="-4"/>
          <w:sz w:val="28"/>
          <w:szCs w:val="28"/>
          <w:lang w:val="sq-AL"/>
        </w:rPr>
        <w:t>.</w:t>
      </w:r>
      <w:r w:rsidR="00307B3A" w:rsidRPr="00C03A20">
        <w:rPr>
          <w:rFonts w:ascii="Times New Roman" w:hAnsi="Times New Roman"/>
          <w:spacing w:val="-4"/>
          <w:sz w:val="28"/>
          <w:szCs w:val="28"/>
          <w:lang w:val="sq-AL"/>
        </w:rPr>
        <w:t>C</w:t>
      </w:r>
      <w:r w:rsidR="003C1568" w:rsidRPr="00C03A20">
        <w:rPr>
          <w:rFonts w:ascii="Times New Roman" w:hAnsi="Times New Roman"/>
          <w:spacing w:val="-4"/>
          <w:sz w:val="28"/>
          <w:szCs w:val="28"/>
          <w:lang w:val="sq-AL"/>
        </w:rPr>
        <w:t xml:space="preserve">. </w:t>
      </w:r>
    </w:p>
    <w:p w:rsidR="009478BF" w:rsidRPr="00C03A20" w:rsidRDefault="009478BF" w:rsidP="00C03A20">
      <w:pPr>
        <w:spacing w:after="0"/>
        <w:jc w:val="both"/>
        <w:rPr>
          <w:rFonts w:ascii="Times New Roman" w:hAnsi="Times New Roman"/>
          <w:spacing w:val="-4"/>
          <w:sz w:val="28"/>
          <w:szCs w:val="28"/>
          <w:lang w:val="sq-AL"/>
        </w:rPr>
      </w:pPr>
    </w:p>
    <w:p w:rsidR="005B2CA4" w:rsidRPr="00C03A20" w:rsidRDefault="003C1568" w:rsidP="00C03A20">
      <w:pPr>
        <w:spacing w:after="0"/>
        <w:jc w:val="both"/>
        <w:rPr>
          <w:rFonts w:ascii="Times New Roman" w:hAnsi="Times New Roman"/>
          <w:spacing w:val="-4"/>
          <w:sz w:val="28"/>
          <w:szCs w:val="28"/>
          <w:lang w:val="sq-AL"/>
        </w:rPr>
      </w:pPr>
      <w:r w:rsidRPr="00C03A20">
        <w:rPr>
          <w:rFonts w:ascii="Times New Roman" w:hAnsi="Times New Roman"/>
          <w:spacing w:val="-4"/>
          <w:sz w:val="28"/>
          <w:szCs w:val="28"/>
          <w:lang w:val="sq-AL"/>
        </w:rPr>
        <w:t xml:space="preserve">Gjithashtu, neni </w:t>
      </w:r>
      <w:r w:rsidR="005A71AC" w:rsidRPr="00C03A20">
        <w:rPr>
          <w:rFonts w:ascii="Times New Roman" w:hAnsi="Times New Roman"/>
          <w:spacing w:val="-4"/>
          <w:sz w:val="28"/>
          <w:szCs w:val="28"/>
          <w:lang w:val="sq-AL"/>
        </w:rPr>
        <w:t>52</w:t>
      </w:r>
      <w:r w:rsidRPr="00C03A20">
        <w:rPr>
          <w:rFonts w:ascii="Times New Roman" w:hAnsi="Times New Roman"/>
          <w:spacing w:val="-4"/>
          <w:sz w:val="28"/>
          <w:szCs w:val="28"/>
          <w:lang w:val="sq-AL"/>
        </w:rPr>
        <w:t xml:space="preserve"> </w:t>
      </w:r>
      <w:r w:rsidR="00493752" w:rsidRPr="00C03A20">
        <w:rPr>
          <w:rFonts w:ascii="Times New Roman" w:hAnsi="Times New Roman"/>
          <w:spacing w:val="-4"/>
          <w:sz w:val="28"/>
          <w:szCs w:val="28"/>
          <w:lang w:val="sq-AL"/>
        </w:rPr>
        <w:t>b</w:t>
      </w:r>
      <w:r w:rsidR="002565EE" w:rsidRPr="00C03A20">
        <w:rPr>
          <w:rFonts w:ascii="Times New Roman" w:hAnsi="Times New Roman"/>
          <w:spacing w:val="-4"/>
          <w:sz w:val="28"/>
          <w:szCs w:val="28"/>
          <w:lang w:val="sq-AL"/>
        </w:rPr>
        <w:t>ë</w:t>
      </w:r>
      <w:r w:rsidR="00493752" w:rsidRPr="00C03A20">
        <w:rPr>
          <w:rFonts w:ascii="Times New Roman" w:hAnsi="Times New Roman"/>
          <w:spacing w:val="-4"/>
          <w:sz w:val="28"/>
          <w:szCs w:val="28"/>
          <w:lang w:val="sq-AL"/>
        </w:rPr>
        <w:t>n t</w:t>
      </w:r>
      <w:r w:rsidR="002565EE" w:rsidRPr="00C03A20">
        <w:rPr>
          <w:rFonts w:ascii="Times New Roman" w:hAnsi="Times New Roman"/>
          <w:spacing w:val="-4"/>
          <w:sz w:val="28"/>
          <w:szCs w:val="28"/>
          <w:lang w:val="sq-AL"/>
        </w:rPr>
        <w:t>ë</w:t>
      </w:r>
      <w:r w:rsidR="00493752" w:rsidRPr="00C03A20">
        <w:rPr>
          <w:rFonts w:ascii="Times New Roman" w:hAnsi="Times New Roman"/>
          <w:spacing w:val="-4"/>
          <w:sz w:val="28"/>
          <w:szCs w:val="28"/>
          <w:lang w:val="sq-AL"/>
        </w:rPr>
        <w:t xml:space="preserve"> qart</w:t>
      </w:r>
      <w:r w:rsidR="002565EE" w:rsidRPr="00C03A20">
        <w:rPr>
          <w:rFonts w:ascii="Times New Roman" w:hAnsi="Times New Roman"/>
          <w:spacing w:val="-4"/>
          <w:sz w:val="28"/>
          <w:szCs w:val="28"/>
          <w:lang w:val="sq-AL"/>
        </w:rPr>
        <w:t>ë</w:t>
      </w:r>
      <w:r w:rsidR="00493752" w:rsidRPr="00C03A20">
        <w:rPr>
          <w:rFonts w:ascii="Times New Roman" w:hAnsi="Times New Roman"/>
          <w:spacing w:val="-4"/>
          <w:sz w:val="28"/>
          <w:szCs w:val="28"/>
          <w:lang w:val="sq-AL"/>
        </w:rPr>
        <w:t xml:space="preserve"> se n</w:t>
      </w:r>
      <w:r w:rsidR="005B2CA4" w:rsidRPr="00C03A20">
        <w:rPr>
          <w:rFonts w:ascii="Times New Roman" w:hAnsi="Times New Roman"/>
          <w:spacing w:val="-4"/>
          <w:sz w:val="28"/>
          <w:szCs w:val="28"/>
          <w:lang w:val="sq-AL"/>
        </w:rPr>
        <w:t xml:space="preserve">johja dhe zbatimi i vendimeve të arbitrazhit të huaj </w:t>
      </w:r>
      <w:r w:rsidR="009478BF" w:rsidRPr="00C03A20">
        <w:rPr>
          <w:rFonts w:ascii="Times New Roman" w:hAnsi="Times New Roman"/>
          <w:spacing w:val="-4"/>
          <w:sz w:val="28"/>
          <w:szCs w:val="28"/>
          <w:lang w:val="sq-AL"/>
        </w:rPr>
        <w:t>kryhet n</w:t>
      </w:r>
      <w:r w:rsidR="002565EE" w:rsidRPr="00C03A20">
        <w:rPr>
          <w:rFonts w:ascii="Times New Roman" w:hAnsi="Times New Roman"/>
          <w:spacing w:val="-4"/>
          <w:sz w:val="28"/>
          <w:szCs w:val="28"/>
          <w:lang w:val="sq-AL"/>
        </w:rPr>
        <w:t>ë</w:t>
      </w:r>
      <w:r w:rsidR="009478BF" w:rsidRPr="00C03A20">
        <w:rPr>
          <w:rFonts w:ascii="Times New Roman" w:hAnsi="Times New Roman"/>
          <w:spacing w:val="-4"/>
          <w:sz w:val="28"/>
          <w:szCs w:val="28"/>
          <w:lang w:val="sq-AL"/>
        </w:rPr>
        <w:t xml:space="preserve"> p</w:t>
      </w:r>
      <w:r w:rsidR="002565EE" w:rsidRPr="00C03A20">
        <w:rPr>
          <w:rFonts w:ascii="Times New Roman" w:hAnsi="Times New Roman"/>
          <w:spacing w:val="-4"/>
          <w:sz w:val="28"/>
          <w:szCs w:val="28"/>
          <w:lang w:val="sq-AL"/>
        </w:rPr>
        <w:t>ë</w:t>
      </w:r>
      <w:r w:rsidR="009478BF" w:rsidRPr="00C03A20">
        <w:rPr>
          <w:rFonts w:ascii="Times New Roman" w:hAnsi="Times New Roman"/>
          <w:spacing w:val="-4"/>
          <w:sz w:val="28"/>
          <w:szCs w:val="28"/>
          <w:lang w:val="sq-AL"/>
        </w:rPr>
        <w:t xml:space="preserve">rputhje me </w:t>
      </w:r>
      <w:r w:rsidR="005B2CA4" w:rsidRPr="00C03A20">
        <w:rPr>
          <w:rFonts w:ascii="Times New Roman" w:hAnsi="Times New Roman"/>
          <w:spacing w:val="-4"/>
          <w:sz w:val="28"/>
          <w:szCs w:val="28"/>
          <w:lang w:val="sq-AL"/>
        </w:rPr>
        <w:t>Konvent</w:t>
      </w:r>
      <w:r w:rsidR="002565EE" w:rsidRPr="00C03A20">
        <w:rPr>
          <w:rFonts w:ascii="Times New Roman" w:hAnsi="Times New Roman"/>
          <w:spacing w:val="-4"/>
          <w:sz w:val="28"/>
          <w:szCs w:val="28"/>
          <w:lang w:val="sq-AL"/>
        </w:rPr>
        <w:t>ë</w:t>
      </w:r>
      <w:r w:rsidR="009478BF" w:rsidRPr="00C03A20">
        <w:rPr>
          <w:rFonts w:ascii="Times New Roman" w:hAnsi="Times New Roman"/>
          <w:spacing w:val="-4"/>
          <w:sz w:val="28"/>
          <w:szCs w:val="28"/>
          <w:lang w:val="sq-AL"/>
        </w:rPr>
        <w:t>n</w:t>
      </w:r>
      <w:r w:rsidR="005B2CA4" w:rsidRPr="00C03A20">
        <w:rPr>
          <w:rFonts w:ascii="Times New Roman" w:hAnsi="Times New Roman"/>
          <w:spacing w:val="-4"/>
          <w:sz w:val="28"/>
          <w:szCs w:val="28"/>
          <w:lang w:val="sq-AL"/>
        </w:rPr>
        <w:t xml:space="preserve"> për Njohjen dhe Ekzekutimin e Vendimeve të Huaja të Arbitrazhit, bërë më 10 qershor 1958 në Nju Jork, në të cilën Republika e Shqipërisë ka aderuar nëpërmjet ligjit nr.8688, datë 9.11.2000, “Për aderimin e Republikës së Shqipërisë në “Konventën për Njohjen dhe Ekzekutimin e Vendimeve të Huaja të Arbitrazhit”.</w:t>
      </w:r>
    </w:p>
    <w:p w:rsidR="0062142E" w:rsidRPr="00C03A20" w:rsidRDefault="0062142E" w:rsidP="00C03A20">
      <w:pPr>
        <w:spacing w:after="0"/>
        <w:jc w:val="both"/>
        <w:rPr>
          <w:rFonts w:ascii="Times New Roman" w:hAnsi="Times New Roman"/>
          <w:spacing w:val="-4"/>
          <w:sz w:val="28"/>
          <w:szCs w:val="28"/>
          <w:lang w:val="sq-AL"/>
        </w:rPr>
      </w:pPr>
    </w:p>
    <w:p w:rsidR="005C1E6A" w:rsidRPr="00C03A20" w:rsidRDefault="00CC7168" w:rsidP="00C03A20">
      <w:pPr>
        <w:spacing w:after="0"/>
        <w:jc w:val="both"/>
        <w:rPr>
          <w:rFonts w:ascii="Times New Roman" w:hAnsi="Times New Roman"/>
          <w:spacing w:val="-4"/>
          <w:sz w:val="28"/>
          <w:szCs w:val="28"/>
          <w:lang w:val="sq-AL"/>
        </w:rPr>
      </w:pPr>
      <w:r w:rsidRPr="00C03A20">
        <w:rPr>
          <w:rFonts w:ascii="Times New Roman" w:hAnsi="Times New Roman"/>
          <w:b/>
          <w:bCs/>
          <w:spacing w:val="-4"/>
          <w:sz w:val="28"/>
          <w:szCs w:val="28"/>
          <w:lang w:val="sq-AL"/>
        </w:rPr>
        <w:t xml:space="preserve">KREU </w:t>
      </w:r>
      <w:r w:rsidR="00166B4A" w:rsidRPr="00C03A20">
        <w:rPr>
          <w:rFonts w:ascii="Times New Roman" w:hAnsi="Times New Roman"/>
          <w:b/>
          <w:bCs/>
          <w:spacing w:val="-4"/>
          <w:sz w:val="28"/>
          <w:szCs w:val="28"/>
          <w:lang w:val="sq-AL"/>
        </w:rPr>
        <w:t>VIII</w:t>
      </w:r>
      <w:r w:rsidRPr="00C03A20">
        <w:rPr>
          <w:rFonts w:ascii="Times New Roman" w:hAnsi="Times New Roman"/>
          <w:b/>
          <w:bCs/>
          <w:spacing w:val="-4"/>
          <w:sz w:val="28"/>
          <w:szCs w:val="28"/>
          <w:lang w:val="sq-AL"/>
        </w:rPr>
        <w:t xml:space="preserve"> </w:t>
      </w:r>
      <w:r w:rsidRPr="00C03A20">
        <w:rPr>
          <w:rFonts w:ascii="Times New Roman" w:hAnsi="Times New Roman"/>
          <w:spacing w:val="-4"/>
          <w:sz w:val="28"/>
          <w:szCs w:val="28"/>
          <w:lang w:val="sq-AL"/>
        </w:rPr>
        <w:t>“</w:t>
      </w:r>
      <w:r w:rsidR="00BA2E5E" w:rsidRPr="00C03A20">
        <w:rPr>
          <w:rFonts w:ascii="Times New Roman" w:hAnsi="Times New Roman"/>
          <w:i/>
          <w:iCs/>
          <w:spacing w:val="-4"/>
          <w:sz w:val="28"/>
          <w:szCs w:val="28"/>
          <w:lang w:val="sq-AL"/>
        </w:rPr>
        <w:t>Dispozita kalimtare dhe të fundit</w:t>
      </w:r>
      <w:r w:rsidRPr="00C03A20">
        <w:rPr>
          <w:rFonts w:ascii="Times New Roman" w:hAnsi="Times New Roman"/>
          <w:spacing w:val="-4"/>
          <w:sz w:val="28"/>
          <w:szCs w:val="28"/>
          <w:lang w:val="sq-AL"/>
        </w:rPr>
        <w:t>”</w:t>
      </w:r>
      <w:r w:rsidR="005C1E6A" w:rsidRPr="00C03A20">
        <w:rPr>
          <w:rFonts w:ascii="Times New Roman" w:hAnsi="Times New Roman"/>
          <w:spacing w:val="-4"/>
          <w:sz w:val="28"/>
          <w:szCs w:val="28"/>
          <w:lang w:val="sq-AL"/>
        </w:rPr>
        <w:t xml:space="preserve"> </w:t>
      </w:r>
      <w:r w:rsidR="005C1E6A" w:rsidRPr="00C03A20">
        <w:rPr>
          <w:rFonts w:ascii="Times New Roman" w:hAnsi="Times New Roman"/>
          <w:sz w:val="28"/>
          <w:szCs w:val="28"/>
          <w:lang w:val="sq-AL"/>
        </w:rPr>
        <w:t xml:space="preserve">përmban dispozitat e fundit që rregullojnë mënyrën se si do të zbatohet ky ligj, rregullimet kalimtare, shfuqizimin e akteve që bien ndesh me ligjin si dhe momentin e hyrjes në fuqi të ligjit. </w:t>
      </w:r>
    </w:p>
    <w:p w:rsidR="0026062D" w:rsidRPr="00C03A20" w:rsidRDefault="0026062D" w:rsidP="00C03A20">
      <w:pPr>
        <w:spacing w:after="0"/>
        <w:jc w:val="both"/>
        <w:rPr>
          <w:rFonts w:ascii="Times New Roman" w:hAnsi="Times New Roman"/>
          <w:spacing w:val="-4"/>
          <w:sz w:val="28"/>
          <w:szCs w:val="28"/>
          <w:lang w:val="sq-AL"/>
        </w:rPr>
      </w:pPr>
    </w:p>
    <w:p w:rsidR="00734A22" w:rsidRPr="00C03A20" w:rsidRDefault="008209E7" w:rsidP="00C03A20">
      <w:pPr>
        <w:pStyle w:val="ListParagraph"/>
        <w:spacing w:after="0"/>
        <w:ind w:hanging="720"/>
        <w:jc w:val="both"/>
        <w:rPr>
          <w:rFonts w:ascii="Times New Roman" w:hAnsi="Times New Roman"/>
          <w:b/>
          <w:sz w:val="28"/>
          <w:szCs w:val="28"/>
          <w:lang w:val="sq-AL"/>
        </w:rPr>
      </w:pPr>
      <w:r w:rsidRPr="00C03A20">
        <w:rPr>
          <w:rFonts w:ascii="Times New Roman" w:hAnsi="Times New Roman"/>
          <w:b/>
          <w:sz w:val="28"/>
          <w:szCs w:val="28"/>
          <w:lang w:val="sq-AL"/>
        </w:rPr>
        <w:lastRenderedPageBreak/>
        <w:t xml:space="preserve">VI. </w:t>
      </w:r>
      <w:r w:rsidR="004C5EC6" w:rsidRPr="00C03A20">
        <w:rPr>
          <w:rFonts w:ascii="Times New Roman" w:hAnsi="Times New Roman"/>
          <w:b/>
          <w:sz w:val="28"/>
          <w:szCs w:val="28"/>
          <w:lang w:val="sq-AL"/>
        </w:rPr>
        <w:tab/>
      </w:r>
      <w:r w:rsidR="00734A22" w:rsidRPr="00C03A20">
        <w:rPr>
          <w:rFonts w:ascii="Times New Roman" w:hAnsi="Times New Roman"/>
          <w:b/>
          <w:sz w:val="28"/>
          <w:szCs w:val="28"/>
          <w:lang w:val="sq-AL"/>
        </w:rPr>
        <w:t>INSTITUCIONET DHE ORGANET QË NGARKOHEN ME ZBATIMIN E AKTIT</w:t>
      </w:r>
    </w:p>
    <w:p w:rsidR="004C5EC6" w:rsidRPr="00C03A20" w:rsidRDefault="004C5EC6" w:rsidP="00C03A20">
      <w:pPr>
        <w:spacing w:after="0"/>
        <w:jc w:val="both"/>
        <w:rPr>
          <w:rFonts w:ascii="Times New Roman" w:hAnsi="Times New Roman"/>
          <w:sz w:val="28"/>
          <w:szCs w:val="28"/>
          <w:lang w:val="sq-AL"/>
        </w:rPr>
      </w:pPr>
    </w:p>
    <w:p w:rsidR="00734A22" w:rsidRPr="00C03A20" w:rsidRDefault="00C54C0C" w:rsidP="00C03A20">
      <w:pPr>
        <w:spacing w:after="0"/>
        <w:jc w:val="both"/>
        <w:rPr>
          <w:rFonts w:ascii="Times New Roman" w:hAnsi="Times New Roman"/>
          <w:b/>
          <w:sz w:val="28"/>
          <w:szCs w:val="28"/>
          <w:lang w:val="sq-AL"/>
        </w:rPr>
      </w:pPr>
      <w:r w:rsidRPr="00C03A20">
        <w:rPr>
          <w:rFonts w:ascii="Times New Roman" w:hAnsi="Times New Roman"/>
          <w:sz w:val="28"/>
          <w:szCs w:val="28"/>
          <w:lang w:val="sq-AL"/>
        </w:rPr>
        <w:t xml:space="preserve">Me zbatimin e </w:t>
      </w:r>
      <w:r w:rsidR="00CE69C5" w:rsidRPr="00C03A20">
        <w:rPr>
          <w:rFonts w:ascii="Times New Roman" w:hAnsi="Times New Roman"/>
          <w:sz w:val="28"/>
          <w:szCs w:val="28"/>
          <w:lang w:val="sq-AL"/>
        </w:rPr>
        <w:t>k</w:t>
      </w:r>
      <w:r w:rsidR="000D610D" w:rsidRPr="00C03A20">
        <w:rPr>
          <w:rFonts w:ascii="Times New Roman" w:hAnsi="Times New Roman"/>
          <w:sz w:val="28"/>
          <w:szCs w:val="28"/>
          <w:lang w:val="sq-AL"/>
        </w:rPr>
        <w:t>ë</w:t>
      </w:r>
      <w:r w:rsidR="00CE69C5" w:rsidRPr="00C03A20">
        <w:rPr>
          <w:rFonts w:ascii="Times New Roman" w:hAnsi="Times New Roman"/>
          <w:sz w:val="28"/>
          <w:szCs w:val="28"/>
          <w:lang w:val="sq-AL"/>
        </w:rPr>
        <w:t>tij projekt</w:t>
      </w:r>
      <w:r w:rsidR="005A71AC" w:rsidRPr="00C03A20">
        <w:rPr>
          <w:rFonts w:ascii="Times New Roman" w:hAnsi="Times New Roman"/>
          <w:sz w:val="28"/>
          <w:szCs w:val="28"/>
          <w:lang w:val="sq-AL"/>
        </w:rPr>
        <w:t>ligji</w:t>
      </w:r>
      <w:r w:rsidRPr="00C03A20">
        <w:rPr>
          <w:rFonts w:ascii="Times New Roman" w:hAnsi="Times New Roman"/>
          <w:sz w:val="28"/>
          <w:szCs w:val="28"/>
          <w:lang w:val="sq-AL"/>
        </w:rPr>
        <w:t xml:space="preserve"> ngarkohen të gjitha organet </w:t>
      </w:r>
      <w:r w:rsidR="005A71AC" w:rsidRPr="00C03A20">
        <w:rPr>
          <w:rFonts w:ascii="Times New Roman" w:hAnsi="Times New Roman"/>
          <w:sz w:val="28"/>
          <w:szCs w:val="28"/>
          <w:lang w:val="sq-AL"/>
        </w:rPr>
        <w:t>publike dhe private.</w:t>
      </w:r>
    </w:p>
    <w:p w:rsidR="00734A22" w:rsidRPr="00C03A20" w:rsidRDefault="00734A22" w:rsidP="00C03A20">
      <w:pPr>
        <w:pStyle w:val="ListParagraph"/>
        <w:spacing w:after="0"/>
        <w:ind w:hanging="720"/>
        <w:jc w:val="both"/>
        <w:rPr>
          <w:rFonts w:ascii="Times New Roman" w:hAnsi="Times New Roman"/>
          <w:b/>
          <w:sz w:val="28"/>
          <w:szCs w:val="28"/>
          <w:lang w:val="sq-AL"/>
        </w:rPr>
      </w:pPr>
    </w:p>
    <w:p w:rsidR="00734A22" w:rsidRPr="00C03A20" w:rsidRDefault="008209E7" w:rsidP="00C03A20">
      <w:pPr>
        <w:pStyle w:val="ListParagraph"/>
        <w:spacing w:after="0"/>
        <w:ind w:hanging="720"/>
        <w:jc w:val="both"/>
        <w:rPr>
          <w:rFonts w:ascii="Times New Roman" w:hAnsi="Times New Roman"/>
          <w:b/>
          <w:sz w:val="28"/>
          <w:szCs w:val="28"/>
          <w:lang w:val="sq-AL"/>
        </w:rPr>
      </w:pPr>
      <w:r w:rsidRPr="00C03A20">
        <w:rPr>
          <w:rFonts w:ascii="Times New Roman" w:hAnsi="Times New Roman"/>
          <w:b/>
          <w:sz w:val="28"/>
          <w:szCs w:val="28"/>
          <w:lang w:val="sq-AL"/>
        </w:rPr>
        <w:t xml:space="preserve">VII. </w:t>
      </w:r>
      <w:r w:rsidR="00734A22" w:rsidRPr="00C03A20">
        <w:rPr>
          <w:rFonts w:ascii="Times New Roman" w:hAnsi="Times New Roman"/>
          <w:b/>
          <w:sz w:val="28"/>
          <w:szCs w:val="28"/>
          <w:lang w:val="sq-AL"/>
        </w:rPr>
        <w:t>MINISTRITË INSTITUCIONET DHE PERSONAT QË KANË KONTRIBUAR NË HARTIMIN E PROJEKT-AKTIT</w:t>
      </w:r>
    </w:p>
    <w:p w:rsidR="004C5EC6" w:rsidRPr="00C03A20" w:rsidRDefault="004C5EC6" w:rsidP="00C03A20">
      <w:pPr>
        <w:autoSpaceDE w:val="0"/>
        <w:autoSpaceDN w:val="0"/>
        <w:adjustRightInd w:val="0"/>
        <w:spacing w:after="0"/>
        <w:jc w:val="both"/>
        <w:rPr>
          <w:rFonts w:ascii="Times New Roman" w:hAnsi="Times New Roman"/>
          <w:color w:val="000000"/>
          <w:sz w:val="28"/>
          <w:szCs w:val="28"/>
          <w:lang w:val="sq-AL"/>
        </w:rPr>
      </w:pPr>
    </w:p>
    <w:p w:rsidR="0026062D" w:rsidRPr="00C03A20" w:rsidRDefault="00734A22" w:rsidP="00C03A20">
      <w:pPr>
        <w:autoSpaceDE w:val="0"/>
        <w:autoSpaceDN w:val="0"/>
        <w:adjustRightInd w:val="0"/>
        <w:spacing w:after="0"/>
        <w:jc w:val="both"/>
        <w:rPr>
          <w:rFonts w:ascii="Times New Roman" w:hAnsi="Times New Roman"/>
          <w:color w:val="000000"/>
          <w:sz w:val="28"/>
          <w:szCs w:val="28"/>
          <w:lang w:val="sq-AL"/>
        </w:rPr>
      </w:pPr>
      <w:r w:rsidRPr="00C03A20">
        <w:rPr>
          <w:rFonts w:ascii="Times New Roman" w:hAnsi="Times New Roman"/>
          <w:color w:val="000000"/>
          <w:sz w:val="28"/>
          <w:szCs w:val="28"/>
          <w:lang w:val="sq-AL"/>
        </w:rPr>
        <w:t xml:space="preserve">Projektligji është hartuar nga </w:t>
      </w:r>
      <w:r w:rsidR="00C54C0C" w:rsidRPr="00C03A20">
        <w:rPr>
          <w:rFonts w:ascii="Times New Roman" w:hAnsi="Times New Roman"/>
          <w:color w:val="000000"/>
          <w:sz w:val="28"/>
          <w:szCs w:val="28"/>
          <w:lang w:val="sq-AL"/>
        </w:rPr>
        <w:t>Ministri i Drejtësisë</w:t>
      </w:r>
      <w:r w:rsidR="005D17DC" w:rsidRPr="00C03A20">
        <w:rPr>
          <w:rFonts w:ascii="Times New Roman" w:hAnsi="Times New Roman"/>
          <w:color w:val="000000"/>
          <w:sz w:val="28"/>
          <w:szCs w:val="28"/>
          <w:lang w:val="sq-AL"/>
        </w:rPr>
        <w:t xml:space="preserve"> me asistenc</w:t>
      </w:r>
      <w:r w:rsidR="000D610D" w:rsidRPr="00C03A20">
        <w:rPr>
          <w:rFonts w:ascii="Times New Roman" w:hAnsi="Times New Roman"/>
          <w:color w:val="000000"/>
          <w:sz w:val="28"/>
          <w:szCs w:val="28"/>
          <w:lang w:val="sq-AL"/>
        </w:rPr>
        <w:t>ë</w:t>
      </w:r>
      <w:r w:rsidR="005D17DC" w:rsidRPr="00C03A20">
        <w:rPr>
          <w:rFonts w:ascii="Times New Roman" w:hAnsi="Times New Roman"/>
          <w:color w:val="000000"/>
          <w:sz w:val="28"/>
          <w:szCs w:val="28"/>
          <w:lang w:val="sq-AL"/>
        </w:rPr>
        <w:t>n teknike t</w:t>
      </w:r>
      <w:r w:rsidR="000D610D" w:rsidRPr="00C03A20">
        <w:rPr>
          <w:rFonts w:ascii="Times New Roman" w:hAnsi="Times New Roman"/>
          <w:color w:val="000000"/>
          <w:sz w:val="28"/>
          <w:szCs w:val="28"/>
          <w:lang w:val="sq-AL"/>
        </w:rPr>
        <w:t>ë</w:t>
      </w:r>
      <w:r w:rsidR="005D17DC" w:rsidRPr="00C03A20">
        <w:rPr>
          <w:rFonts w:ascii="Times New Roman" w:hAnsi="Times New Roman"/>
          <w:color w:val="000000"/>
          <w:sz w:val="28"/>
          <w:szCs w:val="28"/>
          <w:lang w:val="sq-AL"/>
        </w:rPr>
        <w:t xml:space="preserve"> projektit</w:t>
      </w:r>
      <w:r w:rsidR="00707B83" w:rsidRPr="00C03A20">
        <w:rPr>
          <w:rFonts w:ascii="Times New Roman" w:hAnsi="Times New Roman"/>
          <w:color w:val="000000"/>
          <w:sz w:val="28"/>
          <w:szCs w:val="28"/>
          <w:lang w:val="sq-AL"/>
        </w:rPr>
        <w:t xml:space="preserve"> </w:t>
      </w:r>
      <w:r w:rsidR="005D17DC" w:rsidRPr="00C03A20">
        <w:rPr>
          <w:rFonts w:ascii="Times New Roman" w:hAnsi="Times New Roman"/>
          <w:color w:val="000000"/>
          <w:sz w:val="28"/>
          <w:szCs w:val="28"/>
          <w:lang w:val="sq-AL"/>
        </w:rPr>
        <w:t>“</w:t>
      </w:r>
      <w:r w:rsidR="00213EC0" w:rsidRPr="00C03A20">
        <w:rPr>
          <w:rFonts w:ascii="Times New Roman" w:hAnsi="Times New Roman"/>
          <w:color w:val="000000"/>
          <w:sz w:val="28"/>
          <w:szCs w:val="28"/>
          <w:lang w:val="sq-AL"/>
        </w:rPr>
        <w:t>Konsolidimi i Sistemit të Drejtësisë në Shqipëri</w:t>
      </w:r>
      <w:r w:rsidR="005D17DC" w:rsidRPr="00C03A20">
        <w:rPr>
          <w:rFonts w:ascii="Times New Roman" w:hAnsi="Times New Roman"/>
          <w:color w:val="000000"/>
          <w:sz w:val="28"/>
          <w:szCs w:val="28"/>
          <w:lang w:val="sq-AL"/>
        </w:rPr>
        <w:t>” (EURALIUS V)</w:t>
      </w:r>
      <w:r w:rsidRPr="00C03A20">
        <w:rPr>
          <w:rFonts w:ascii="Times New Roman" w:hAnsi="Times New Roman"/>
          <w:color w:val="000000"/>
          <w:sz w:val="28"/>
          <w:szCs w:val="28"/>
          <w:lang w:val="sq-AL"/>
        </w:rPr>
        <w:t xml:space="preserve"> dhe do të paraqitet pranë Këshillit të Ministrave</w:t>
      </w:r>
      <w:r w:rsidR="004462BE" w:rsidRPr="00C03A20">
        <w:rPr>
          <w:rFonts w:ascii="Times New Roman" w:hAnsi="Times New Roman"/>
          <w:color w:val="000000"/>
          <w:sz w:val="28"/>
          <w:szCs w:val="28"/>
          <w:lang w:val="sq-AL"/>
        </w:rPr>
        <w:t>.</w:t>
      </w:r>
    </w:p>
    <w:p w:rsidR="0099634C" w:rsidRPr="00C03A20" w:rsidRDefault="0099634C" w:rsidP="00C03A20">
      <w:pPr>
        <w:tabs>
          <w:tab w:val="left" w:pos="567"/>
          <w:tab w:val="left" w:pos="1134"/>
        </w:tabs>
        <w:spacing w:after="0"/>
        <w:contextualSpacing/>
        <w:jc w:val="both"/>
        <w:rPr>
          <w:rFonts w:ascii="Times New Roman" w:hAnsi="Times New Roman"/>
          <w:color w:val="000000"/>
          <w:sz w:val="28"/>
          <w:szCs w:val="28"/>
          <w:lang w:val="sq-AL"/>
        </w:rPr>
      </w:pPr>
    </w:p>
    <w:p w:rsidR="0099634C" w:rsidRPr="00C03A20" w:rsidRDefault="0099634C" w:rsidP="00C03A20">
      <w:pPr>
        <w:tabs>
          <w:tab w:val="left" w:pos="567"/>
          <w:tab w:val="left" w:pos="1134"/>
        </w:tabs>
        <w:spacing w:after="0"/>
        <w:contextualSpacing/>
        <w:jc w:val="both"/>
        <w:rPr>
          <w:rFonts w:ascii="Times New Roman" w:hAnsi="Times New Roman"/>
          <w:color w:val="000000"/>
          <w:sz w:val="28"/>
          <w:szCs w:val="28"/>
          <w:lang w:val="sq-AL"/>
        </w:rPr>
      </w:pPr>
      <w:r w:rsidRPr="00C03A20">
        <w:rPr>
          <w:rFonts w:ascii="Times New Roman" w:hAnsi="Times New Roman"/>
          <w:color w:val="000000"/>
          <w:sz w:val="28"/>
          <w:szCs w:val="28"/>
          <w:lang w:val="sq-AL"/>
        </w:rPr>
        <w:t xml:space="preserve">Projektligji do të përcillet për mendim pranë ministrive të linjës dhe do të publikohet në </w:t>
      </w:r>
      <w:r w:rsidR="005B1B8D" w:rsidRPr="00C03A20">
        <w:rPr>
          <w:rFonts w:ascii="Times New Roman" w:hAnsi="Times New Roman"/>
          <w:color w:val="000000"/>
          <w:sz w:val="28"/>
          <w:szCs w:val="28"/>
          <w:lang w:val="sq-AL"/>
        </w:rPr>
        <w:t>portalin e Regjistrit Elektronik</w:t>
      </w:r>
      <w:r w:rsidRPr="00C03A20">
        <w:rPr>
          <w:rFonts w:ascii="Times New Roman" w:hAnsi="Times New Roman"/>
          <w:color w:val="000000"/>
          <w:sz w:val="28"/>
          <w:szCs w:val="28"/>
          <w:lang w:val="sq-AL"/>
        </w:rPr>
        <w:t xml:space="preserve"> për konsultim publik.</w:t>
      </w:r>
    </w:p>
    <w:p w:rsidR="0099634C" w:rsidRPr="00C03A20" w:rsidRDefault="0099634C" w:rsidP="00C03A20">
      <w:pPr>
        <w:autoSpaceDE w:val="0"/>
        <w:autoSpaceDN w:val="0"/>
        <w:adjustRightInd w:val="0"/>
        <w:spacing w:after="0"/>
        <w:jc w:val="both"/>
        <w:rPr>
          <w:rFonts w:ascii="Times New Roman" w:hAnsi="Times New Roman"/>
          <w:color w:val="000000"/>
          <w:sz w:val="28"/>
          <w:szCs w:val="28"/>
          <w:lang w:val="sq-AL"/>
        </w:rPr>
      </w:pPr>
    </w:p>
    <w:p w:rsidR="00734A22" w:rsidRPr="00C03A20" w:rsidRDefault="008209E7" w:rsidP="00C03A20">
      <w:pPr>
        <w:autoSpaceDE w:val="0"/>
        <w:autoSpaceDN w:val="0"/>
        <w:adjustRightInd w:val="0"/>
        <w:spacing w:after="0"/>
        <w:ind w:left="720" w:hanging="720"/>
        <w:jc w:val="both"/>
        <w:rPr>
          <w:rFonts w:ascii="Times New Roman" w:hAnsi="Times New Roman"/>
          <w:sz w:val="28"/>
          <w:szCs w:val="28"/>
          <w:lang w:val="sq-AL"/>
        </w:rPr>
      </w:pPr>
      <w:r w:rsidRPr="00C03A20">
        <w:rPr>
          <w:rFonts w:ascii="Times New Roman" w:hAnsi="Times New Roman"/>
          <w:b/>
          <w:sz w:val="28"/>
          <w:szCs w:val="28"/>
          <w:lang w:val="sq-AL"/>
        </w:rPr>
        <w:t>VIII.</w:t>
      </w:r>
      <w:r w:rsidR="004C5EC6" w:rsidRPr="00C03A20">
        <w:rPr>
          <w:rFonts w:ascii="Times New Roman" w:hAnsi="Times New Roman"/>
          <w:b/>
          <w:sz w:val="28"/>
          <w:szCs w:val="28"/>
          <w:lang w:val="sq-AL"/>
        </w:rPr>
        <w:tab/>
      </w:r>
      <w:r w:rsidR="00734A22" w:rsidRPr="00C03A20">
        <w:rPr>
          <w:rFonts w:ascii="Times New Roman" w:hAnsi="Times New Roman"/>
          <w:b/>
          <w:sz w:val="28"/>
          <w:szCs w:val="28"/>
          <w:lang w:val="sq-AL"/>
        </w:rPr>
        <w:t>RAPORTI I VLERËSIMIT TË TË ARDHURAVE DHE SHPENZIMEVE BUXHETORE</w:t>
      </w:r>
    </w:p>
    <w:p w:rsidR="00734A22" w:rsidRPr="00C03A20" w:rsidRDefault="00734A22" w:rsidP="00C03A20">
      <w:pPr>
        <w:autoSpaceDE w:val="0"/>
        <w:autoSpaceDN w:val="0"/>
        <w:adjustRightInd w:val="0"/>
        <w:spacing w:after="0"/>
        <w:ind w:left="720" w:hanging="720"/>
        <w:jc w:val="both"/>
        <w:rPr>
          <w:rFonts w:ascii="Times New Roman" w:hAnsi="Times New Roman"/>
          <w:b/>
          <w:sz w:val="28"/>
          <w:szCs w:val="28"/>
          <w:lang w:val="sq-AL"/>
        </w:rPr>
      </w:pPr>
    </w:p>
    <w:p w:rsidR="00734A22" w:rsidRPr="00C03A20" w:rsidRDefault="00734A22" w:rsidP="00C03A20">
      <w:pPr>
        <w:spacing w:after="0"/>
        <w:jc w:val="both"/>
        <w:rPr>
          <w:rFonts w:ascii="Times New Roman" w:hAnsi="Times New Roman"/>
          <w:sz w:val="28"/>
          <w:szCs w:val="28"/>
          <w:lang w:val="sq-AL"/>
        </w:rPr>
      </w:pPr>
      <w:r w:rsidRPr="00C03A20">
        <w:rPr>
          <w:rFonts w:ascii="Times New Roman" w:hAnsi="Times New Roman"/>
          <w:sz w:val="28"/>
          <w:szCs w:val="28"/>
          <w:lang w:val="sq-AL"/>
        </w:rPr>
        <w:t>Projektligji nuk përcjell efekte financiare shtesë në buxhetin e shtetit.</w:t>
      </w:r>
    </w:p>
    <w:sectPr w:rsidR="00734A22" w:rsidRPr="00C03A20" w:rsidSect="0069052D">
      <w:footerReference w:type="default" r:id="rId11"/>
      <w:pgSz w:w="11907" w:h="16839"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02E32" w16cid:durableId="21879B87"/>
  <w16cid:commentId w16cid:paraId="5695774E" w16cid:durableId="2187B5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66E" w:rsidRDefault="00E0466E" w:rsidP="0069052D">
      <w:pPr>
        <w:spacing w:after="0" w:line="240" w:lineRule="auto"/>
      </w:pPr>
      <w:r>
        <w:separator/>
      </w:r>
    </w:p>
  </w:endnote>
  <w:endnote w:type="continuationSeparator" w:id="0">
    <w:p w:rsidR="00E0466E" w:rsidRDefault="00E0466E" w:rsidP="0069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C6" w:rsidRPr="00995978" w:rsidRDefault="00EE24C9" w:rsidP="004C5EC6">
    <w:pPr>
      <w:pStyle w:val="Footer"/>
      <w:pBdr>
        <w:top w:val="thinThickSmallGap" w:sz="24" w:space="1" w:color="622423"/>
      </w:pBdr>
      <w:jc w:val="right"/>
      <w:rPr>
        <w:rFonts w:ascii="Times New Roman" w:hAnsi="Times New Roman"/>
        <w:sz w:val="20"/>
        <w:szCs w:val="20"/>
      </w:rPr>
    </w:pPr>
    <w:r w:rsidRPr="00995978">
      <w:rPr>
        <w:rFonts w:ascii="Times New Roman" w:eastAsia="Times New Roman" w:hAnsi="Times New Roman"/>
        <w:sz w:val="20"/>
        <w:szCs w:val="20"/>
        <w:lang w:val="sq-AL"/>
      </w:rPr>
      <w:t xml:space="preserve">RELACION PËR PROJEKTLIGJIN “PËR </w:t>
    </w:r>
    <w:r w:rsidR="004C5EC6" w:rsidRPr="00995978">
      <w:rPr>
        <w:rFonts w:ascii="Times New Roman" w:eastAsia="Times New Roman" w:hAnsi="Times New Roman"/>
        <w:sz w:val="20"/>
        <w:szCs w:val="20"/>
        <w:lang w:val="sq-AL"/>
      </w:rPr>
      <w:t>ARBITRAZHIN</w:t>
    </w:r>
    <w:r w:rsidR="0076518F">
      <w:rPr>
        <w:rFonts w:ascii="Times New Roman" w:eastAsia="Times New Roman" w:hAnsi="Times New Roman"/>
        <w:sz w:val="20"/>
        <w:szCs w:val="20"/>
        <w:lang w:val="sq-AL"/>
      </w:rPr>
      <w:t xml:space="preserve"> </w:t>
    </w:r>
    <w:r w:rsidR="0076518F" w:rsidRPr="0076518F">
      <w:rPr>
        <w:rFonts w:ascii="Times New Roman" w:eastAsia="Times New Roman" w:hAnsi="Times New Roman"/>
        <w:sz w:val="20"/>
        <w:szCs w:val="20"/>
        <w:lang w:val="sq-AL"/>
      </w:rPr>
      <w:t>NË REPUBLIKËN E SHQIPËRISË</w:t>
    </w:r>
    <w:r w:rsidRPr="00995978">
      <w:rPr>
        <w:rFonts w:ascii="Times New Roman" w:eastAsia="Times New Roman" w:hAnsi="Times New Roman"/>
        <w:sz w:val="20"/>
        <w:szCs w:val="20"/>
        <w:lang w:val="sq-AL"/>
      </w:rPr>
      <w:t>”</w:t>
    </w:r>
    <w:r w:rsidR="004C5EC6" w:rsidRPr="00995978">
      <w:rPr>
        <w:rFonts w:ascii="Times New Roman" w:eastAsia="Times New Roman" w:hAnsi="Times New Roman"/>
        <w:sz w:val="20"/>
        <w:szCs w:val="20"/>
      </w:rPr>
      <w:t xml:space="preserve">               </w:t>
    </w:r>
    <w:r w:rsidR="00011A5B">
      <w:rPr>
        <w:rFonts w:ascii="Times New Roman" w:eastAsia="Times New Roman" w:hAnsi="Times New Roman"/>
        <w:sz w:val="20"/>
        <w:szCs w:val="20"/>
      </w:rPr>
      <w:t xml:space="preserve">  </w:t>
    </w:r>
    <w:r w:rsidR="004C5EC6" w:rsidRPr="00995978">
      <w:rPr>
        <w:rFonts w:ascii="Times New Roman" w:eastAsia="Times New Roman" w:hAnsi="Times New Roman"/>
        <w:sz w:val="20"/>
        <w:szCs w:val="20"/>
      </w:rPr>
      <w:t xml:space="preserve">   </w:t>
    </w:r>
    <w:r w:rsidR="004C5EC6" w:rsidRPr="00995978">
      <w:rPr>
        <w:rFonts w:ascii="Times New Roman" w:hAnsi="Times New Roman"/>
        <w:sz w:val="20"/>
        <w:szCs w:val="20"/>
      </w:rPr>
      <w:fldChar w:fldCharType="begin"/>
    </w:r>
    <w:r w:rsidR="004C5EC6" w:rsidRPr="00995978">
      <w:rPr>
        <w:rFonts w:ascii="Times New Roman" w:hAnsi="Times New Roman"/>
        <w:sz w:val="20"/>
        <w:szCs w:val="20"/>
      </w:rPr>
      <w:instrText xml:space="preserve"> PAGE   \* MERGEFORMAT </w:instrText>
    </w:r>
    <w:r w:rsidR="004C5EC6" w:rsidRPr="00995978">
      <w:rPr>
        <w:rFonts w:ascii="Times New Roman" w:hAnsi="Times New Roman"/>
        <w:sz w:val="20"/>
        <w:szCs w:val="20"/>
      </w:rPr>
      <w:fldChar w:fldCharType="separate"/>
    </w:r>
    <w:r w:rsidR="00514834">
      <w:rPr>
        <w:rFonts w:ascii="Times New Roman" w:hAnsi="Times New Roman"/>
        <w:noProof/>
        <w:sz w:val="20"/>
        <w:szCs w:val="20"/>
      </w:rPr>
      <w:t>2</w:t>
    </w:r>
    <w:r w:rsidR="004C5EC6" w:rsidRPr="00995978">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66E" w:rsidRDefault="00E0466E" w:rsidP="0069052D">
      <w:pPr>
        <w:spacing w:after="0" w:line="240" w:lineRule="auto"/>
      </w:pPr>
      <w:r>
        <w:separator/>
      </w:r>
    </w:p>
  </w:footnote>
  <w:footnote w:type="continuationSeparator" w:id="0">
    <w:p w:rsidR="00E0466E" w:rsidRDefault="00E0466E" w:rsidP="0069052D">
      <w:pPr>
        <w:spacing w:after="0" w:line="240" w:lineRule="auto"/>
      </w:pPr>
      <w:r>
        <w:continuationSeparator/>
      </w:r>
    </w:p>
  </w:footnote>
  <w:footnote w:id="1">
    <w:p w:rsidR="003D1781" w:rsidRPr="0025148A" w:rsidRDefault="003D1781" w:rsidP="003D1781">
      <w:pPr>
        <w:pStyle w:val="FootnoteText"/>
        <w:rPr>
          <w:rFonts w:ascii="Times New Roman" w:hAnsi="Times New Roman"/>
        </w:rPr>
      </w:pPr>
      <w:r>
        <w:rPr>
          <w:rStyle w:val="FootnoteReference"/>
        </w:rPr>
        <w:footnoteRef/>
      </w:r>
      <w:r>
        <w:t xml:space="preserve"> </w:t>
      </w:r>
      <w:r w:rsidRPr="0025148A">
        <w:rPr>
          <w:rFonts w:ascii="Times New Roman" w:hAnsi="Times New Roman"/>
        </w:rPr>
        <w:t>Neni 8 i Ligjit model t</w:t>
      </w:r>
      <w:r>
        <w:rPr>
          <w:rFonts w:ascii="Times New Roman" w:hAnsi="Times New Roman"/>
        </w:rPr>
        <w:t>ë</w:t>
      </w:r>
      <w:r w:rsidRPr="0025148A">
        <w:rPr>
          <w:rFonts w:ascii="Times New Roman" w:hAnsi="Times New Roman"/>
        </w:rPr>
        <w:t xml:space="preserve"> UNICITRAl: Pal</w:t>
      </w:r>
      <w:r>
        <w:rPr>
          <w:rFonts w:ascii="Times New Roman" w:hAnsi="Times New Roman"/>
        </w:rPr>
        <w:t>ë</w:t>
      </w:r>
      <w:r w:rsidRPr="0025148A">
        <w:rPr>
          <w:rFonts w:ascii="Times New Roman" w:hAnsi="Times New Roman"/>
        </w:rPr>
        <w:t>t do t</w:t>
      </w:r>
      <w:r>
        <w:rPr>
          <w:rFonts w:ascii="Times New Roman" w:hAnsi="Times New Roman"/>
        </w:rPr>
        <w:t>ë</w:t>
      </w:r>
      <w:r w:rsidRPr="0025148A">
        <w:rPr>
          <w:rFonts w:ascii="Times New Roman" w:hAnsi="Times New Roman"/>
        </w:rPr>
        <w:t xml:space="preserve"> trajtohen me barazi dhe secil</w:t>
      </w:r>
      <w:r>
        <w:rPr>
          <w:rFonts w:ascii="Times New Roman" w:hAnsi="Times New Roman"/>
        </w:rPr>
        <w:t>ë</w:t>
      </w:r>
      <w:r w:rsidRPr="0025148A">
        <w:rPr>
          <w:rFonts w:ascii="Times New Roman" w:hAnsi="Times New Roman"/>
        </w:rPr>
        <w:t>s pal</w:t>
      </w:r>
      <w:r>
        <w:rPr>
          <w:rFonts w:ascii="Times New Roman" w:hAnsi="Times New Roman"/>
        </w:rPr>
        <w:t>ë</w:t>
      </w:r>
      <w:r w:rsidRPr="0025148A">
        <w:rPr>
          <w:rFonts w:ascii="Times New Roman" w:hAnsi="Times New Roman"/>
        </w:rPr>
        <w:t xml:space="preserve"> do ti jepet nj</w:t>
      </w:r>
      <w:r>
        <w:rPr>
          <w:rFonts w:ascii="Times New Roman" w:hAnsi="Times New Roman"/>
        </w:rPr>
        <w:t>ë</w:t>
      </w:r>
      <w:r w:rsidRPr="0025148A">
        <w:rPr>
          <w:rFonts w:ascii="Times New Roman" w:hAnsi="Times New Roman"/>
        </w:rPr>
        <w:t xml:space="preserve"> mund</w:t>
      </w:r>
      <w:r>
        <w:rPr>
          <w:rFonts w:ascii="Times New Roman" w:hAnsi="Times New Roman"/>
        </w:rPr>
        <w:t>ë</w:t>
      </w:r>
      <w:r w:rsidRPr="0025148A">
        <w:rPr>
          <w:rFonts w:ascii="Times New Roman" w:hAnsi="Times New Roman"/>
        </w:rPr>
        <w:t>si e plot</w:t>
      </w:r>
      <w:r>
        <w:rPr>
          <w:rFonts w:ascii="Times New Roman" w:hAnsi="Times New Roman"/>
        </w:rPr>
        <w:t>ë</w:t>
      </w:r>
      <w:r w:rsidRPr="0025148A">
        <w:rPr>
          <w:rFonts w:ascii="Times New Roman" w:hAnsi="Times New Roman"/>
        </w:rPr>
        <w:t xml:space="preserve"> p</w:t>
      </w:r>
      <w:r>
        <w:rPr>
          <w:rFonts w:ascii="Times New Roman" w:hAnsi="Times New Roman"/>
        </w:rPr>
        <w:t>ë</w:t>
      </w:r>
      <w:r w:rsidRPr="0025148A">
        <w:rPr>
          <w:rFonts w:ascii="Times New Roman" w:hAnsi="Times New Roman"/>
        </w:rPr>
        <w:t>r t</w:t>
      </w:r>
      <w:r>
        <w:rPr>
          <w:rFonts w:ascii="Times New Roman" w:hAnsi="Times New Roman"/>
        </w:rPr>
        <w:t>ë</w:t>
      </w:r>
      <w:r w:rsidRPr="0025148A">
        <w:rPr>
          <w:rFonts w:ascii="Times New Roman" w:hAnsi="Times New Roman"/>
        </w:rPr>
        <w:t xml:space="preserve"> paraqitur ç</w:t>
      </w:r>
      <w:r>
        <w:rPr>
          <w:rFonts w:ascii="Times New Roman" w:hAnsi="Times New Roman"/>
        </w:rPr>
        <w:t>ë</w:t>
      </w:r>
      <w:r w:rsidRPr="0025148A">
        <w:rPr>
          <w:rFonts w:ascii="Times New Roman" w:hAnsi="Times New Roman"/>
        </w:rPr>
        <w:t>shtjen e tij.</w:t>
      </w:r>
    </w:p>
  </w:footnote>
  <w:footnote w:id="2">
    <w:p w:rsidR="003D1781" w:rsidRPr="0025148A" w:rsidRDefault="003D1781" w:rsidP="003D1781">
      <w:pPr>
        <w:pStyle w:val="FootnoteText"/>
        <w:jc w:val="both"/>
        <w:rPr>
          <w:rFonts w:ascii="Times New Roman" w:hAnsi="Times New Roman"/>
        </w:rPr>
      </w:pPr>
      <w:r w:rsidRPr="0025148A">
        <w:rPr>
          <w:rStyle w:val="FootnoteReference"/>
          <w:rFonts w:ascii="Times New Roman" w:hAnsi="Times New Roman"/>
        </w:rPr>
        <w:footnoteRef/>
      </w:r>
      <w:r w:rsidRPr="0025148A">
        <w:rPr>
          <w:rFonts w:ascii="Times New Roman" w:hAnsi="Times New Roman"/>
        </w:rPr>
        <w:t xml:space="preserve"> Neni 35/1 i Ligjit model t</w:t>
      </w:r>
      <w:r>
        <w:rPr>
          <w:rFonts w:ascii="Times New Roman" w:hAnsi="Times New Roman"/>
        </w:rPr>
        <w:t>ë</w:t>
      </w:r>
      <w:r w:rsidRPr="0025148A">
        <w:rPr>
          <w:rFonts w:ascii="Times New Roman" w:hAnsi="Times New Roman"/>
        </w:rPr>
        <w:t xml:space="preserve"> UNICITRAL: Nj</w:t>
      </w:r>
      <w:r>
        <w:rPr>
          <w:rFonts w:ascii="Times New Roman" w:hAnsi="Times New Roman"/>
        </w:rPr>
        <w:t>ë</w:t>
      </w:r>
      <w:r w:rsidRPr="0025148A">
        <w:rPr>
          <w:rFonts w:ascii="Times New Roman" w:hAnsi="Times New Roman"/>
        </w:rPr>
        <w:t xml:space="preserve"> vendim arbitrazhi, pavar</w:t>
      </w:r>
      <w:r>
        <w:rPr>
          <w:rFonts w:ascii="Times New Roman" w:hAnsi="Times New Roman"/>
        </w:rPr>
        <w:t>ë</w:t>
      </w:r>
      <w:r w:rsidRPr="0025148A">
        <w:rPr>
          <w:rFonts w:ascii="Times New Roman" w:hAnsi="Times New Roman"/>
        </w:rPr>
        <w:t>sisht nga vendi n</w:t>
      </w:r>
      <w:r>
        <w:rPr>
          <w:rFonts w:ascii="Times New Roman" w:hAnsi="Times New Roman"/>
        </w:rPr>
        <w:t>ë</w:t>
      </w:r>
      <w:r w:rsidRPr="0025148A">
        <w:rPr>
          <w:rFonts w:ascii="Times New Roman" w:hAnsi="Times New Roman"/>
        </w:rPr>
        <w:t xml:space="preserve"> t</w:t>
      </w:r>
      <w:r>
        <w:rPr>
          <w:rFonts w:ascii="Times New Roman" w:hAnsi="Times New Roman"/>
        </w:rPr>
        <w:t>ë</w:t>
      </w:r>
      <w:r w:rsidRPr="0025148A">
        <w:rPr>
          <w:rFonts w:ascii="Times New Roman" w:hAnsi="Times New Roman"/>
        </w:rPr>
        <w:t xml:space="preserve"> cilin </w:t>
      </w:r>
      <w:r>
        <w:rPr>
          <w:rFonts w:ascii="Times New Roman" w:hAnsi="Times New Roman"/>
        </w:rPr>
        <w:t>ë</w:t>
      </w:r>
      <w:r w:rsidRPr="0025148A">
        <w:rPr>
          <w:rFonts w:ascii="Times New Roman" w:hAnsi="Times New Roman"/>
        </w:rPr>
        <w:t>sht</w:t>
      </w:r>
      <w:r>
        <w:rPr>
          <w:rFonts w:ascii="Times New Roman" w:hAnsi="Times New Roman"/>
        </w:rPr>
        <w:t>ë</w:t>
      </w:r>
      <w:r w:rsidRPr="0025148A">
        <w:rPr>
          <w:rFonts w:ascii="Times New Roman" w:hAnsi="Times New Roman"/>
        </w:rPr>
        <w:t xml:space="preserve"> marr</w:t>
      </w:r>
      <w:r>
        <w:rPr>
          <w:rFonts w:ascii="Times New Roman" w:hAnsi="Times New Roman"/>
        </w:rPr>
        <w:t>ë</w:t>
      </w:r>
      <w:r w:rsidRPr="0025148A">
        <w:rPr>
          <w:rFonts w:ascii="Times New Roman" w:hAnsi="Times New Roman"/>
        </w:rPr>
        <w:t>, duhet t</w:t>
      </w:r>
      <w:r>
        <w:rPr>
          <w:rFonts w:ascii="Times New Roman" w:hAnsi="Times New Roman"/>
        </w:rPr>
        <w:t>ë</w:t>
      </w:r>
      <w:r w:rsidRPr="0025148A">
        <w:rPr>
          <w:rFonts w:ascii="Times New Roman" w:hAnsi="Times New Roman"/>
        </w:rPr>
        <w:t xml:space="preserve"> njihet si i detyruesh</w:t>
      </w:r>
      <w:r>
        <w:rPr>
          <w:rFonts w:ascii="Times New Roman" w:hAnsi="Times New Roman"/>
        </w:rPr>
        <w:t>ë</w:t>
      </w:r>
      <w:r w:rsidRPr="0025148A">
        <w:rPr>
          <w:rFonts w:ascii="Times New Roman" w:hAnsi="Times New Roman"/>
        </w:rPr>
        <w:t>m, dhe n</w:t>
      </w:r>
      <w:r>
        <w:rPr>
          <w:rFonts w:ascii="Times New Roman" w:hAnsi="Times New Roman"/>
        </w:rPr>
        <w:t>ë</w:t>
      </w:r>
      <w:r w:rsidRPr="0025148A">
        <w:rPr>
          <w:rFonts w:ascii="Times New Roman" w:hAnsi="Times New Roman"/>
        </w:rPr>
        <w:t>p</w:t>
      </w:r>
      <w:r>
        <w:rPr>
          <w:rFonts w:ascii="Times New Roman" w:hAnsi="Times New Roman"/>
        </w:rPr>
        <w:t>ë</w:t>
      </w:r>
      <w:r w:rsidRPr="0025148A">
        <w:rPr>
          <w:rFonts w:ascii="Times New Roman" w:hAnsi="Times New Roman"/>
        </w:rPr>
        <w:t>rmjet nj</w:t>
      </w:r>
      <w:r>
        <w:rPr>
          <w:rFonts w:ascii="Times New Roman" w:hAnsi="Times New Roman"/>
        </w:rPr>
        <w:t>ë</w:t>
      </w:r>
      <w:r w:rsidRPr="0025148A">
        <w:rPr>
          <w:rFonts w:ascii="Times New Roman" w:hAnsi="Times New Roman"/>
        </w:rPr>
        <w:t xml:space="preserve"> k</w:t>
      </w:r>
      <w:r>
        <w:rPr>
          <w:rFonts w:ascii="Times New Roman" w:hAnsi="Times New Roman"/>
        </w:rPr>
        <w:t>ë</w:t>
      </w:r>
      <w:r w:rsidRPr="0025148A">
        <w:rPr>
          <w:rFonts w:ascii="Times New Roman" w:hAnsi="Times New Roman"/>
        </w:rPr>
        <w:t>rkese me shkrim drejtuar gjykat</w:t>
      </w:r>
      <w:r>
        <w:rPr>
          <w:rFonts w:ascii="Times New Roman" w:hAnsi="Times New Roman"/>
        </w:rPr>
        <w:t>ë</w:t>
      </w:r>
      <w:r w:rsidRPr="0025148A">
        <w:rPr>
          <w:rFonts w:ascii="Times New Roman" w:hAnsi="Times New Roman"/>
        </w:rPr>
        <w:t>s kompetente, duhet t</w:t>
      </w:r>
      <w:r>
        <w:rPr>
          <w:rFonts w:ascii="Times New Roman" w:hAnsi="Times New Roman"/>
        </w:rPr>
        <w:t>ë</w:t>
      </w:r>
      <w:r w:rsidRPr="0025148A">
        <w:rPr>
          <w:rFonts w:ascii="Times New Roman" w:hAnsi="Times New Roman"/>
        </w:rPr>
        <w:t xml:space="preserve"> detyroj</w:t>
      </w:r>
      <w:r>
        <w:rPr>
          <w:rFonts w:ascii="Times New Roman" w:hAnsi="Times New Roman"/>
        </w:rPr>
        <w:t>ë</w:t>
      </w:r>
      <w:r w:rsidRPr="0025148A">
        <w:rPr>
          <w:rFonts w:ascii="Times New Roman" w:hAnsi="Times New Roman"/>
        </w:rPr>
        <w:t xml:space="preserve"> forc</w:t>
      </w:r>
      <w:r>
        <w:rPr>
          <w:rFonts w:ascii="Times New Roman" w:hAnsi="Times New Roman"/>
        </w:rPr>
        <w:t>ë</w:t>
      </w:r>
      <w:r w:rsidRPr="0025148A">
        <w:rPr>
          <w:rFonts w:ascii="Times New Roman" w:hAnsi="Times New Roman"/>
        </w:rPr>
        <w:t>risht subjektet p</w:t>
      </w:r>
      <w:r>
        <w:rPr>
          <w:rFonts w:ascii="Times New Roman" w:hAnsi="Times New Roman"/>
        </w:rPr>
        <w:t>ë</w:t>
      </w:r>
      <w:r w:rsidRPr="0025148A">
        <w:rPr>
          <w:rFonts w:ascii="Times New Roman" w:hAnsi="Times New Roman"/>
        </w:rPr>
        <w:t>rkat</w:t>
      </w:r>
      <w:r>
        <w:rPr>
          <w:rFonts w:ascii="Times New Roman" w:hAnsi="Times New Roman"/>
        </w:rPr>
        <w:t>ë</w:t>
      </w:r>
      <w:r w:rsidRPr="0025148A">
        <w:rPr>
          <w:rFonts w:ascii="Times New Roman" w:hAnsi="Times New Roman"/>
        </w:rPr>
        <w:t>se, t</w:t>
      </w:r>
      <w:r>
        <w:rPr>
          <w:rFonts w:ascii="Times New Roman" w:hAnsi="Times New Roman"/>
        </w:rPr>
        <w:t>ë</w:t>
      </w:r>
      <w:r w:rsidRPr="0025148A">
        <w:rPr>
          <w:rFonts w:ascii="Times New Roman" w:hAnsi="Times New Roman"/>
        </w:rPr>
        <w:t xml:space="preserve"> detyruar sipas vet</w:t>
      </w:r>
      <w:r>
        <w:rPr>
          <w:rFonts w:ascii="Times New Roman" w:hAnsi="Times New Roman"/>
        </w:rPr>
        <w:t>ë</w:t>
      </w:r>
      <w:r w:rsidRPr="0025148A">
        <w:rPr>
          <w:rFonts w:ascii="Times New Roman" w:hAnsi="Times New Roman"/>
        </w:rPr>
        <w:t xml:space="preserve"> vendimit.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5C5"/>
    <w:multiLevelType w:val="hybridMultilevel"/>
    <w:tmpl w:val="A5D0C99A"/>
    <w:lvl w:ilvl="0" w:tplc="DEC83C8A">
      <w:start w:val="4"/>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FF6A6F"/>
    <w:multiLevelType w:val="hybridMultilevel"/>
    <w:tmpl w:val="3268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97FDE"/>
    <w:multiLevelType w:val="hybridMultilevel"/>
    <w:tmpl w:val="CDAE2842"/>
    <w:lvl w:ilvl="0" w:tplc="DEC83C8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12045"/>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D4638"/>
    <w:multiLevelType w:val="hybridMultilevel"/>
    <w:tmpl w:val="15A6E2C8"/>
    <w:lvl w:ilvl="0" w:tplc="A8CAC840">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562CD"/>
    <w:multiLevelType w:val="hybridMultilevel"/>
    <w:tmpl w:val="5D9E0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99E07A0"/>
    <w:multiLevelType w:val="hybridMultilevel"/>
    <w:tmpl w:val="703E7752"/>
    <w:lvl w:ilvl="0" w:tplc="FAC62842">
      <w:start w:val="1"/>
      <w:numFmt w:val="upperLetter"/>
      <w:lvlText w:val="%1."/>
      <w:lvlJc w:val="left"/>
      <w:pPr>
        <w:ind w:left="720" w:hanging="360"/>
      </w:pPr>
      <w:rPr>
        <w:rFonts w:hint="default"/>
        <w:i/>
      </w:rPr>
    </w:lvl>
    <w:lvl w:ilvl="1" w:tplc="DB18B9BC" w:tentative="1">
      <w:start w:val="1"/>
      <w:numFmt w:val="lowerLetter"/>
      <w:lvlText w:val="%2."/>
      <w:lvlJc w:val="left"/>
      <w:pPr>
        <w:ind w:left="1440" w:hanging="360"/>
      </w:pPr>
    </w:lvl>
    <w:lvl w:ilvl="2" w:tplc="F5DA6AC0" w:tentative="1">
      <w:start w:val="1"/>
      <w:numFmt w:val="lowerRoman"/>
      <w:lvlText w:val="%3."/>
      <w:lvlJc w:val="right"/>
      <w:pPr>
        <w:ind w:left="2160" w:hanging="180"/>
      </w:pPr>
    </w:lvl>
    <w:lvl w:ilvl="3" w:tplc="B824CEB2" w:tentative="1">
      <w:start w:val="1"/>
      <w:numFmt w:val="decimal"/>
      <w:lvlText w:val="%4."/>
      <w:lvlJc w:val="left"/>
      <w:pPr>
        <w:ind w:left="2880" w:hanging="360"/>
      </w:pPr>
    </w:lvl>
    <w:lvl w:ilvl="4" w:tplc="FE0A64DC" w:tentative="1">
      <w:start w:val="1"/>
      <w:numFmt w:val="lowerLetter"/>
      <w:lvlText w:val="%5."/>
      <w:lvlJc w:val="left"/>
      <w:pPr>
        <w:ind w:left="3600" w:hanging="360"/>
      </w:pPr>
    </w:lvl>
    <w:lvl w:ilvl="5" w:tplc="AFDC0AF4" w:tentative="1">
      <w:start w:val="1"/>
      <w:numFmt w:val="lowerRoman"/>
      <w:lvlText w:val="%6."/>
      <w:lvlJc w:val="right"/>
      <w:pPr>
        <w:ind w:left="4320" w:hanging="180"/>
      </w:pPr>
    </w:lvl>
    <w:lvl w:ilvl="6" w:tplc="B8284E6E" w:tentative="1">
      <w:start w:val="1"/>
      <w:numFmt w:val="decimal"/>
      <w:lvlText w:val="%7."/>
      <w:lvlJc w:val="left"/>
      <w:pPr>
        <w:ind w:left="5040" w:hanging="360"/>
      </w:pPr>
    </w:lvl>
    <w:lvl w:ilvl="7" w:tplc="392E2064" w:tentative="1">
      <w:start w:val="1"/>
      <w:numFmt w:val="lowerLetter"/>
      <w:lvlText w:val="%8."/>
      <w:lvlJc w:val="left"/>
      <w:pPr>
        <w:ind w:left="5760" w:hanging="360"/>
      </w:pPr>
    </w:lvl>
    <w:lvl w:ilvl="8" w:tplc="F64C6BF4" w:tentative="1">
      <w:start w:val="1"/>
      <w:numFmt w:val="lowerRoman"/>
      <w:lvlText w:val="%9."/>
      <w:lvlJc w:val="right"/>
      <w:pPr>
        <w:ind w:left="6480" w:hanging="180"/>
      </w:pPr>
    </w:lvl>
  </w:abstractNum>
  <w:abstractNum w:abstractNumId="8"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64399C"/>
    <w:multiLevelType w:val="hybridMultilevel"/>
    <w:tmpl w:val="574A3526"/>
    <w:lvl w:ilvl="0" w:tplc="1158BA18">
      <w:start w:val="1"/>
      <w:numFmt w:val="upperRoman"/>
      <w:lvlText w:val="%1."/>
      <w:lvlJc w:val="left"/>
      <w:pPr>
        <w:ind w:left="1080" w:hanging="720"/>
      </w:pPr>
      <w:rPr>
        <w:rFonts w:hint="default"/>
      </w:rPr>
    </w:lvl>
    <w:lvl w:ilvl="1" w:tplc="AB58E242" w:tentative="1">
      <w:start w:val="1"/>
      <w:numFmt w:val="lowerLetter"/>
      <w:lvlText w:val="%2."/>
      <w:lvlJc w:val="left"/>
      <w:pPr>
        <w:ind w:left="1440" w:hanging="360"/>
      </w:pPr>
    </w:lvl>
    <w:lvl w:ilvl="2" w:tplc="80941180" w:tentative="1">
      <w:start w:val="1"/>
      <w:numFmt w:val="lowerRoman"/>
      <w:lvlText w:val="%3."/>
      <w:lvlJc w:val="right"/>
      <w:pPr>
        <w:ind w:left="2160" w:hanging="180"/>
      </w:pPr>
    </w:lvl>
    <w:lvl w:ilvl="3" w:tplc="9C6084CA" w:tentative="1">
      <w:start w:val="1"/>
      <w:numFmt w:val="decimal"/>
      <w:lvlText w:val="%4."/>
      <w:lvlJc w:val="left"/>
      <w:pPr>
        <w:ind w:left="2880" w:hanging="360"/>
      </w:pPr>
    </w:lvl>
    <w:lvl w:ilvl="4" w:tplc="A1B65D30" w:tentative="1">
      <w:start w:val="1"/>
      <w:numFmt w:val="lowerLetter"/>
      <w:lvlText w:val="%5."/>
      <w:lvlJc w:val="left"/>
      <w:pPr>
        <w:ind w:left="3600" w:hanging="360"/>
      </w:pPr>
    </w:lvl>
    <w:lvl w:ilvl="5" w:tplc="956CD39C" w:tentative="1">
      <w:start w:val="1"/>
      <w:numFmt w:val="lowerRoman"/>
      <w:lvlText w:val="%6."/>
      <w:lvlJc w:val="right"/>
      <w:pPr>
        <w:ind w:left="4320" w:hanging="180"/>
      </w:pPr>
    </w:lvl>
    <w:lvl w:ilvl="6" w:tplc="9B8494BC" w:tentative="1">
      <w:start w:val="1"/>
      <w:numFmt w:val="decimal"/>
      <w:lvlText w:val="%7."/>
      <w:lvlJc w:val="left"/>
      <w:pPr>
        <w:ind w:left="5040" w:hanging="360"/>
      </w:pPr>
    </w:lvl>
    <w:lvl w:ilvl="7" w:tplc="58D8B0B2" w:tentative="1">
      <w:start w:val="1"/>
      <w:numFmt w:val="lowerLetter"/>
      <w:lvlText w:val="%8."/>
      <w:lvlJc w:val="left"/>
      <w:pPr>
        <w:ind w:left="5760" w:hanging="360"/>
      </w:pPr>
    </w:lvl>
    <w:lvl w:ilvl="8" w:tplc="5324E66E" w:tentative="1">
      <w:start w:val="1"/>
      <w:numFmt w:val="lowerRoman"/>
      <w:lvlText w:val="%9."/>
      <w:lvlJc w:val="right"/>
      <w:pPr>
        <w:ind w:left="6480" w:hanging="180"/>
      </w:pPr>
    </w:lvl>
  </w:abstractNum>
  <w:abstractNum w:abstractNumId="10" w15:restartNumberingAfterBreak="0">
    <w:nsid w:val="575061BA"/>
    <w:multiLevelType w:val="hybridMultilevel"/>
    <w:tmpl w:val="231EC2E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C3B673A"/>
    <w:multiLevelType w:val="hybridMultilevel"/>
    <w:tmpl w:val="F908643E"/>
    <w:lvl w:ilvl="0" w:tplc="FFE6CDAE">
      <w:start w:val="1"/>
      <w:numFmt w:val="upperLetter"/>
      <w:lvlText w:val="%1."/>
      <w:lvlJc w:val="left"/>
      <w:pPr>
        <w:ind w:left="1440" w:hanging="360"/>
      </w:pPr>
      <w:rPr>
        <w:rFonts w:ascii="Cambria" w:hAnsi="Cambria" w:cs="Times New Roman" w:hint="default"/>
      </w:rPr>
    </w:lvl>
    <w:lvl w:ilvl="1" w:tplc="4B80FDA8" w:tentative="1">
      <w:start w:val="1"/>
      <w:numFmt w:val="lowerLetter"/>
      <w:lvlText w:val="%2."/>
      <w:lvlJc w:val="left"/>
      <w:pPr>
        <w:ind w:left="2160" w:hanging="360"/>
      </w:pPr>
    </w:lvl>
    <w:lvl w:ilvl="2" w:tplc="B4665D76" w:tentative="1">
      <w:start w:val="1"/>
      <w:numFmt w:val="lowerRoman"/>
      <w:lvlText w:val="%3."/>
      <w:lvlJc w:val="right"/>
      <w:pPr>
        <w:ind w:left="2880" w:hanging="180"/>
      </w:pPr>
    </w:lvl>
    <w:lvl w:ilvl="3" w:tplc="E5D6E430" w:tentative="1">
      <w:start w:val="1"/>
      <w:numFmt w:val="decimal"/>
      <w:lvlText w:val="%4."/>
      <w:lvlJc w:val="left"/>
      <w:pPr>
        <w:ind w:left="3600" w:hanging="360"/>
      </w:pPr>
    </w:lvl>
    <w:lvl w:ilvl="4" w:tplc="C04A8F7C" w:tentative="1">
      <w:start w:val="1"/>
      <w:numFmt w:val="lowerLetter"/>
      <w:lvlText w:val="%5."/>
      <w:lvlJc w:val="left"/>
      <w:pPr>
        <w:ind w:left="4320" w:hanging="360"/>
      </w:pPr>
    </w:lvl>
    <w:lvl w:ilvl="5" w:tplc="23084B8E" w:tentative="1">
      <w:start w:val="1"/>
      <w:numFmt w:val="lowerRoman"/>
      <w:lvlText w:val="%6."/>
      <w:lvlJc w:val="right"/>
      <w:pPr>
        <w:ind w:left="5040" w:hanging="180"/>
      </w:pPr>
    </w:lvl>
    <w:lvl w:ilvl="6" w:tplc="F4BC854A" w:tentative="1">
      <w:start w:val="1"/>
      <w:numFmt w:val="decimal"/>
      <w:lvlText w:val="%7."/>
      <w:lvlJc w:val="left"/>
      <w:pPr>
        <w:ind w:left="5760" w:hanging="360"/>
      </w:pPr>
    </w:lvl>
    <w:lvl w:ilvl="7" w:tplc="F1D2CA2C" w:tentative="1">
      <w:start w:val="1"/>
      <w:numFmt w:val="lowerLetter"/>
      <w:lvlText w:val="%8."/>
      <w:lvlJc w:val="left"/>
      <w:pPr>
        <w:ind w:left="6480" w:hanging="360"/>
      </w:pPr>
    </w:lvl>
    <w:lvl w:ilvl="8" w:tplc="7C6CE2E2" w:tentative="1">
      <w:start w:val="1"/>
      <w:numFmt w:val="lowerRoman"/>
      <w:lvlText w:val="%9."/>
      <w:lvlJc w:val="right"/>
      <w:pPr>
        <w:ind w:left="7200" w:hanging="180"/>
      </w:pPr>
    </w:lvl>
  </w:abstractNum>
  <w:abstractNum w:abstractNumId="13" w15:restartNumberingAfterBreak="0">
    <w:nsid w:val="79D109F6"/>
    <w:multiLevelType w:val="hybridMultilevel"/>
    <w:tmpl w:val="1FB0E2CE"/>
    <w:lvl w:ilvl="0" w:tplc="62163994">
      <w:start w:val="1"/>
      <w:numFmt w:val="decimal"/>
      <w:lvlText w:val="%1."/>
      <w:lvlJc w:val="left"/>
      <w:pPr>
        <w:ind w:left="720" w:hanging="360"/>
      </w:pPr>
      <w:rPr>
        <w:rFonts w:hint="default"/>
      </w:rPr>
    </w:lvl>
    <w:lvl w:ilvl="1" w:tplc="4A4A5C9C" w:tentative="1">
      <w:start w:val="1"/>
      <w:numFmt w:val="lowerLetter"/>
      <w:lvlText w:val="%2."/>
      <w:lvlJc w:val="left"/>
      <w:pPr>
        <w:ind w:left="1440" w:hanging="360"/>
      </w:pPr>
    </w:lvl>
    <w:lvl w:ilvl="2" w:tplc="2E20E3D4" w:tentative="1">
      <w:start w:val="1"/>
      <w:numFmt w:val="lowerRoman"/>
      <w:lvlText w:val="%3."/>
      <w:lvlJc w:val="right"/>
      <w:pPr>
        <w:ind w:left="2160" w:hanging="180"/>
      </w:pPr>
    </w:lvl>
    <w:lvl w:ilvl="3" w:tplc="E12CF442" w:tentative="1">
      <w:start w:val="1"/>
      <w:numFmt w:val="decimal"/>
      <w:lvlText w:val="%4."/>
      <w:lvlJc w:val="left"/>
      <w:pPr>
        <w:ind w:left="2880" w:hanging="360"/>
      </w:pPr>
    </w:lvl>
    <w:lvl w:ilvl="4" w:tplc="2592CFF2" w:tentative="1">
      <w:start w:val="1"/>
      <w:numFmt w:val="lowerLetter"/>
      <w:lvlText w:val="%5."/>
      <w:lvlJc w:val="left"/>
      <w:pPr>
        <w:ind w:left="3600" w:hanging="360"/>
      </w:pPr>
    </w:lvl>
    <w:lvl w:ilvl="5" w:tplc="0BFAED68" w:tentative="1">
      <w:start w:val="1"/>
      <w:numFmt w:val="lowerRoman"/>
      <w:lvlText w:val="%6."/>
      <w:lvlJc w:val="right"/>
      <w:pPr>
        <w:ind w:left="4320" w:hanging="180"/>
      </w:pPr>
    </w:lvl>
    <w:lvl w:ilvl="6" w:tplc="47F86BB8" w:tentative="1">
      <w:start w:val="1"/>
      <w:numFmt w:val="decimal"/>
      <w:lvlText w:val="%7."/>
      <w:lvlJc w:val="left"/>
      <w:pPr>
        <w:ind w:left="5040" w:hanging="360"/>
      </w:pPr>
    </w:lvl>
    <w:lvl w:ilvl="7" w:tplc="E0888502" w:tentative="1">
      <w:start w:val="1"/>
      <w:numFmt w:val="lowerLetter"/>
      <w:lvlText w:val="%8."/>
      <w:lvlJc w:val="left"/>
      <w:pPr>
        <w:ind w:left="5760" w:hanging="360"/>
      </w:pPr>
    </w:lvl>
    <w:lvl w:ilvl="8" w:tplc="2DA20530" w:tentative="1">
      <w:start w:val="1"/>
      <w:numFmt w:val="lowerRoman"/>
      <w:lvlText w:val="%9."/>
      <w:lvlJc w:val="right"/>
      <w:pPr>
        <w:ind w:left="6480" w:hanging="180"/>
      </w:pPr>
    </w:lvl>
  </w:abstractNum>
  <w:abstractNum w:abstractNumId="14" w15:restartNumberingAfterBreak="0">
    <w:nsid w:val="7ABC4700"/>
    <w:multiLevelType w:val="hybridMultilevel"/>
    <w:tmpl w:val="EEE0D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7"/>
  </w:num>
  <w:num w:numId="5">
    <w:abstractNumId w:val="13"/>
  </w:num>
  <w:num w:numId="6">
    <w:abstractNumId w:val="0"/>
  </w:num>
  <w:num w:numId="7">
    <w:abstractNumId w:val="10"/>
  </w:num>
  <w:num w:numId="8">
    <w:abstractNumId w:val="11"/>
  </w:num>
  <w:num w:numId="9">
    <w:abstractNumId w:val="4"/>
  </w:num>
  <w:num w:numId="10">
    <w:abstractNumId w:val="2"/>
  </w:num>
  <w:num w:numId="11">
    <w:abstractNumId w:val="3"/>
  </w:num>
  <w:num w:numId="12">
    <w:abstractNumId w:val="5"/>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04B81"/>
    <w:rsid w:val="00010D4E"/>
    <w:rsid w:val="00011A5B"/>
    <w:rsid w:val="00011F02"/>
    <w:rsid w:val="00021CAC"/>
    <w:rsid w:val="00022361"/>
    <w:rsid w:val="00046612"/>
    <w:rsid w:val="0005590C"/>
    <w:rsid w:val="000604C4"/>
    <w:rsid w:val="00061CC8"/>
    <w:rsid w:val="00062F2F"/>
    <w:rsid w:val="0008155F"/>
    <w:rsid w:val="000820C5"/>
    <w:rsid w:val="000830C2"/>
    <w:rsid w:val="00086799"/>
    <w:rsid w:val="00091A6F"/>
    <w:rsid w:val="00096B87"/>
    <w:rsid w:val="00097D2F"/>
    <w:rsid w:val="000B1C8A"/>
    <w:rsid w:val="000B2C5E"/>
    <w:rsid w:val="000B3362"/>
    <w:rsid w:val="000C346C"/>
    <w:rsid w:val="000C7D33"/>
    <w:rsid w:val="000D610D"/>
    <w:rsid w:val="000E1C68"/>
    <w:rsid w:val="000E5E74"/>
    <w:rsid w:val="001032EF"/>
    <w:rsid w:val="00103F69"/>
    <w:rsid w:val="00111BFD"/>
    <w:rsid w:val="00111C18"/>
    <w:rsid w:val="00111DDC"/>
    <w:rsid w:val="00113CB8"/>
    <w:rsid w:val="0012171B"/>
    <w:rsid w:val="001277CE"/>
    <w:rsid w:val="00131179"/>
    <w:rsid w:val="001314B9"/>
    <w:rsid w:val="001317AE"/>
    <w:rsid w:val="00135745"/>
    <w:rsid w:val="00136A5B"/>
    <w:rsid w:val="00136EB6"/>
    <w:rsid w:val="001402B3"/>
    <w:rsid w:val="0014307B"/>
    <w:rsid w:val="0015002D"/>
    <w:rsid w:val="00152A69"/>
    <w:rsid w:val="0016450F"/>
    <w:rsid w:val="00166B4A"/>
    <w:rsid w:val="00170277"/>
    <w:rsid w:val="00191CA9"/>
    <w:rsid w:val="00193677"/>
    <w:rsid w:val="001937E1"/>
    <w:rsid w:val="001939F1"/>
    <w:rsid w:val="001A2B00"/>
    <w:rsid w:val="001A3D6D"/>
    <w:rsid w:val="001A5865"/>
    <w:rsid w:val="001B75AC"/>
    <w:rsid w:val="001C295E"/>
    <w:rsid w:val="001C393A"/>
    <w:rsid w:val="001D54A8"/>
    <w:rsid w:val="001D76C0"/>
    <w:rsid w:val="001E39E1"/>
    <w:rsid w:val="001F0FDF"/>
    <w:rsid w:val="001F44D8"/>
    <w:rsid w:val="00207383"/>
    <w:rsid w:val="00213EC0"/>
    <w:rsid w:val="00214BAF"/>
    <w:rsid w:val="00215B4F"/>
    <w:rsid w:val="0021702C"/>
    <w:rsid w:val="002224B8"/>
    <w:rsid w:val="00225CC0"/>
    <w:rsid w:val="00236797"/>
    <w:rsid w:val="00237902"/>
    <w:rsid w:val="0024366F"/>
    <w:rsid w:val="002565EE"/>
    <w:rsid w:val="0026062D"/>
    <w:rsid w:val="00277D79"/>
    <w:rsid w:val="00291F26"/>
    <w:rsid w:val="002A6898"/>
    <w:rsid w:val="002B31E7"/>
    <w:rsid w:val="002B44DA"/>
    <w:rsid w:val="002B4BB0"/>
    <w:rsid w:val="002B62D2"/>
    <w:rsid w:val="002B7261"/>
    <w:rsid w:val="002C247B"/>
    <w:rsid w:val="002D04C5"/>
    <w:rsid w:val="002E4CC5"/>
    <w:rsid w:val="002E5D14"/>
    <w:rsid w:val="00306256"/>
    <w:rsid w:val="00307B3A"/>
    <w:rsid w:val="00313D49"/>
    <w:rsid w:val="00314A8B"/>
    <w:rsid w:val="0031559F"/>
    <w:rsid w:val="003165D6"/>
    <w:rsid w:val="00325EDF"/>
    <w:rsid w:val="00327F00"/>
    <w:rsid w:val="003311A3"/>
    <w:rsid w:val="00331829"/>
    <w:rsid w:val="00335B74"/>
    <w:rsid w:val="003378DD"/>
    <w:rsid w:val="003408C9"/>
    <w:rsid w:val="0034173A"/>
    <w:rsid w:val="00345250"/>
    <w:rsid w:val="003474C8"/>
    <w:rsid w:val="00354823"/>
    <w:rsid w:val="003613CC"/>
    <w:rsid w:val="0036187B"/>
    <w:rsid w:val="00387471"/>
    <w:rsid w:val="00395080"/>
    <w:rsid w:val="003953F2"/>
    <w:rsid w:val="003A7395"/>
    <w:rsid w:val="003B247E"/>
    <w:rsid w:val="003C1568"/>
    <w:rsid w:val="003C53B0"/>
    <w:rsid w:val="003C6FC8"/>
    <w:rsid w:val="003D1781"/>
    <w:rsid w:val="003E177F"/>
    <w:rsid w:val="003E5F5F"/>
    <w:rsid w:val="003E6F4E"/>
    <w:rsid w:val="003F4DAB"/>
    <w:rsid w:val="00414688"/>
    <w:rsid w:val="00416B00"/>
    <w:rsid w:val="00417A0F"/>
    <w:rsid w:val="00425F6C"/>
    <w:rsid w:val="00433046"/>
    <w:rsid w:val="0043603E"/>
    <w:rsid w:val="004408D0"/>
    <w:rsid w:val="00442264"/>
    <w:rsid w:val="004462BE"/>
    <w:rsid w:val="004521B8"/>
    <w:rsid w:val="00457DF0"/>
    <w:rsid w:val="00463C96"/>
    <w:rsid w:val="0046795E"/>
    <w:rsid w:val="00472B44"/>
    <w:rsid w:val="004838BD"/>
    <w:rsid w:val="00493752"/>
    <w:rsid w:val="0049646A"/>
    <w:rsid w:val="004B3CEE"/>
    <w:rsid w:val="004C315E"/>
    <w:rsid w:val="004C38DC"/>
    <w:rsid w:val="004C5EC6"/>
    <w:rsid w:val="004C6160"/>
    <w:rsid w:val="004D76BC"/>
    <w:rsid w:val="004E159D"/>
    <w:rsid w:val="004E5061"/>
    <w:rsid w:val="004E6E57"/>
    <w:rsid w:val="004F6ACB"/>
    <w:rsid w:val="0050052F"/>
    <w:rsid w:val="0050460F"/>
    <w:rsid w:val="0051303C"/>
    <w:rsid w:val="00514834"/>
    <w:rsid w:val="00515C19"/>
    <w:rsid w:val="00520489"/>
    <w:rsid w:val="00520D9E"/>
    <w:rsid w:val="00536ECB"/>
    <w:rsid w:val="00541C3F"/>
    <w:rsid w:val="0055217D"/>
    <w:rsid w:val="005527F1"/>
    <w:rsid w:val="00555722"/>
    <w:rsid w:val="0055779F"/>
    <w:rsid w:val="00561D1D"/>
    <w:rsid w:val="00562F69"/>
    <w:rsid w:val="00562FC1"/>
    <w:rsid w:val="0056535D"/>
    <w:rsid w:val="00570329"/>
    <w:rsid w:val="005704CD"/>
    <w:rsid w:val="00586999"/>
    <w:rsid w:val="00586F59"/>
    <w:rsid w:val="00587C17"/>
    <w:rsid w:val="005A0472"/>
    <w:rsid w:val="005A71AC"/>
    <w:rsid w:val="005B1B8D"/>
    <w:rsid w:val="005B263E"/>
    <w:rsid w:val="005B2CA4"/>
    <w:rsid w:val="005C1E6A"/>
    <w:rsid w:val="005C2EF0"/>
    <w:rsid w:val="005D17DC"/>
    <w:rsid w:val="005D2561"/>
    <w:rsid w:val="005E5449"/>
    <w:rsid w:val="005E7EAD"/>
    <w:rsid w:val="005F7091"/>
    <w:rsid w:val="00603544"/>
    <w:rsid w:val="00607FBA"/>
    <w:rsid w:val="0062142E"/>
    <w:rsid w:val="00621FB8"/>
    <w:rsid w:val="006223A4"/>
    <w:rsid w:val="00630464"/>
    <w:rsid w:val="00632665"/>
    <w:rsid w:val="006360AF"/>
    <w:rsid w:val="006378B3"/>
    <w:rsid w:val="006705B7"/>
    <w:rsid w:val="00674AF1"/>
    <w:rsid w:val="00690403"/>
    <w:rsid w:val="0069052D"/>
    <w:rsid w:val="00691D5C"/>
    <w:rsid w:val="006936C9"/>
    <w:rsid w:val="006961CA"/>
    <w:rsid w:val="006A0DB8"/>
    <w:rsid w:val="006A5AB0"/>
    <w:rsid w:val="006A7B7A"/>
    <w:rsid w:val="006B0E72"/>
    <w:rsid w:val="006B3CFB"/>
    <w:rsid w:val="006B3E2D"/>
    <w:rsid w:val="006B5B3C"/>
    <w:rsid w:val="006C4660"/>
    <w:rsid w:val="006C5A67"/>
    <w:rsid w:val="006C71B8"/>
    <w:rsid w:val="006D10AB"/>
    <w:rsid w:val="006D15EB"/>
    <w:rsid w:val="006D39CF"/>
    <w:rsid w:val="006D7F31"/>
    <w:rsid w:val="006E25CB"/>
    <w:rsid w:val="006F1E5E"/>
    <w:rsid w:val="00702DBE"/>
    <w:rsid w:val="0070419A"/>
    <w:rsid w:val="00707B83"/>
    <w:rsid w:val="00711320"/>
    <w:rsid w:val="0071269B"/>
    <w:rsid w:val="00720B77"/>
    <w:rsid w:val="00720ECE"/>
    <w:rsid w:val="0072453A"/>
    <w:rsid w:val="00727761"/>
    <w:rsid w:val="00727BF9"/>
    <w:rsid w:val="00732680"/>
    <w:rsid w:val="00733D32"/>
    <w:rsid w:val="007344B2"/>
    <w:rsid w:val="00734A22"/>
    <w:rsid w:val="007629FA"/>
    <w:rsid w:val="0076518F"/>
    <w:rsid w:val="00777489"/>
    <w:rsid w:val="00780319"/>
    <w:rsid w:val="00782134"/>
    <w:rsid w:val="00782BC7"/>
    <w:rsid w:val="00783463"/>
    <w:rsid w:val="00791916"/>
    <w:rsid w:val="00797FDE"/>
    <w:rsid w:val="007A3CE9"/>
    <w:rsid w:val="007A59F6"/>
    <w:rsid w:val="007B1873"/>
    <w:rsid w:val="007B2D78"/>
    <w:rsid w:val="007B69B6"/>
    <w:rsid w:val="007C53EF"/>
    <w:rsid w:val="007C7151"/>
    <w:rsid w:val="007E3003"/>
    <w:rsid w:val="007E4B21"/>
    <w:rsid w:val="007E7492"/>
    <w:rsid w:val="007F2630"/>
    <w:rsid w:val="007F273D"/>
    <w:rsid w:val="007F283C"/>
    <w:rsid w:val="007F2D4F"/>
    <w:rsid w:val="007F6E9D"/>
    <w:rsid w:val="007F713A"/>
    <w:rsid w:val="007F75D7"/>
    <w:rsid w:val="00812109"/>
    <w:rsid w:val="00814A58"/>
    <w:rsid w:val="0082008D"/>
    <w:rsid w:val="008209E7"/>
    <w:rsid w:val="00835C74"/>
    <w:rsid w:val="00847581"/>
    <w:rsid w:val="00855F8A"/>
    <w:rsid w:val="008612B8"/>
    <w:rsid w:val="00874575"/>
    <w:rsid w:val="008B4F1E"/>
    <w:rsid w:val="008C07E1"/>
    <w:rsid w:val="008D12E2"/>
    <w:rsid w:val="008D1FDA"/>
    <w:rsid w:val="008E4C8E"/>
    <w:rsid w:val="008E53F3"/>
    <w:rsid w:val="008F3DB0"/>
    <w:rsid w:val="008F4311"/>
    <w:rsid w:val="008F481F"/>
    <w:rsid w:val="00905220"/>
    <w:rsid w:val="009114EC"/>
    <w:rsid w:val="009212B6"/>
    <w:rsid w:val="0092203D"/>
    <w:rsid w:val="00931B4D"/>
    <w:rsid w:val="00931D1C"/>
    <w:rsid w:val="00933ACF"/>
    <w:rsid w:val="00947315"/>
    <w:rsid w:val="009478BF"/>
    <w:rsid w:val="00950F58"/>
    <w:rsid w:val="0095277A"/>
    <w:rsid w:val="00965F4C"/>
    <w:rsid w:val="0096783F"/>
    <w:rsid w:val="00980271"/>
    <w:rsid w:val="009821F2"/>
    <w:rsid w:val="0098518F"/>
    <w:rsid w:val="00987288"/>
    <w:rsid w:val="00995978"/>
    <w:rsid w:val="00995A12"/>
    <w:rsid w:val="0099634C"/>
    <w:rsid w:val="009A28C4"/>
    <w:rsid w:val="009A5786"/>
    <w:rsid w:val="009B3AF3"/>
    <w:rsid w:val="009B66D7"/>
    <w:rsid w:val="009B66FB"/>
    <w:rsid w:val="009C60B0"/>
    <w:rsid w:val="009D709A"/>
    <w:rsid w:val="009E6084"/>
    <w:rsid w:val="009F2104"/>
    <w:rsid w:val="00A043FD"/>
    <w:rsid w:val="00A10106"/>
    <w:rsid w:val="00A11D90"/>
    <w:rsid w:val="00A14E9D"/>
    <w:rsid w:val="00A15A9B"/>
    <w:rsid w:val="00A16F9F"/>
    <w:rsid w:val="00A17873"/>
    <w:rsid w:val="00A25D6D"/>
    <w:rsid w:val="00A276DA"/>
    <w:rsid w:val="00A308A8"/>
    <w:rsid w:val="00A30A31"/>
    <w:rsid w:val="00A35E16"/>
    <w:rsid w:val="00A44735"/>
    <w:rsid w:val="00A702C2"/>
    <w:rsid w:val="00A70F7D"/>
    <w:rsid w:val="00A75F50"/>
    <w:rsid w:val="00A770FD"/>
    <w:rsid w:val="00A77A34"/>
    <w:rsid w:val="00A90A71"/>
    <w:rsid w:val="00A90F86"/>
    <w:rsid w:val="00A92E6A"/>
    <w:rsid w:val="00A92FAD"/>
    <w:rsid w:val="00A97AB9"/>
    <w:rsid w:val="00AA182B"/>
    <w:rsid w:val="00AA285C"/>
    <w:rsid w:val="00AB281A"/>
    <w:rsid w:val="00AB47D5"/>
    <w:rsid w:val="00AD58F2"/>
    <w:rsid w:val="00AD5B99"/>
    <w:rsid w:val="00AD5C1A"/>
    <w:rsid w:val="00AD6086"/>
    <w:rsid w:val="00AE5C5E"/>
    <w:rsid w:val="00AE6F30"/>
    <w:rsid w:val="00AF3278"/>
    <w:rsid w:val="00AF55BE"/>
    <w:rsid w:val="00B0586E"/>
    <w:rsid w:val="00B076C9"/>
    <w:rsid w:val="00B1133B"/>
    <w:rsid w:val="00B1194C"/>
    <w:rsid w:val="00B164AF"/>
    <w:rsid w:val="00B16619"/>
    <w:rsid w:val="00B20EE6"/>
    <w:rsid w:val="00B24AC0"/>
    <w:rsid w:val="00B3263B"/>
    <w:rsid w:val="00B355CE"/>
    <w:rsid w:val="00B42235"/>
    <w:rsid w:val="00B44EF9"/>
    <w:rsid w:val="00B455C6"/>
    <w:rsid w:val="00B50A48"/>
    <w:rsid w:val="00B50BD4"/>
    <w:rsid w:val="00B531AB"/>
    <w:rsid w:val="00B56853"/>
    <w:rsid w:val="00B60131"/>
    <w:rsid w:val="00B644B0"/>
    <w:rsid w:val="00B64DCF"/>
    <w:rsid w:val="00B72C63"/>
    <w:rsid w:val="00B73E3E"/>
    <w:rsid w:val="00B74576"/>
    <w:rsid w:val="00B836CB"/>
    <w:rsid w:val="00B9148B"/>
    <w:rsid w:val="00BA0A4B"/>
    <w:rsid w:val="00BA25E1"/>
    <w:rsid w:val="00BA2E5E"/>
    <w:rsid w:val="00BA5E9A"/>
    <w:rsid w:val="00BA6788"/>
    <w:rsid w:val="00BB1250"/>
    <w:rsid w:val="00BC0F61"/>
    <w:rsid w:val="00BD0B3A"/>
    <w:rsid w:val="00BD5799"/>
    <w:rsid w:val="00BD7B46"/>
    <w:rsid w:val="00BE17B7"/>
    <w:rsid w:val="00BE1B15"/>
    <w:rsid w:val="00BE6431"/>
    <w:rsid w:val="00BE70AE"/>
    <w:rsid w:val="00BE7A88"/>
    <w:rsid w:val="00BF0684"/>
    <w:rsid w:val="00BF362B"/>
    <w:rsid w:val="00C03A20"/>
    <w:rsid w:val="00C03A70"/>
    <w:rsid w:val="00C13CD2"/>
    <w:rsid w:val="00C207E5"/>
    <w:rsid w:val="00C235F2"/>
    <w:rsid w:val="00C27492"/>
    <w:rsid w:val="00C54943"/>
    <w:rsid w:val="00C54C0C"/>
    <w:rsid w:val="00C66E21"/>
    <w:rsid w:val="00C70096"/>
    <w:rsid w:val="00C722FF"/>
    <w:rsid w:val="00C84272"/>
    <w:rsid w:val="00C95364"/>
    <w:rsid w:val="00CA5A51"/>
    <w:rsid w:val="00CB10A0"/>
    <w:rsid w:val="00CC02F7"/>
    <w:rsid w:val="00CC1748"/>
    <w:rsid w:val="00CC7168"/>
    <w:rsid w:val="00CD4DB4"/>
    <w:rsid w:val="00CD65FD"/>
    <w:rsid w:val="00CE05C3"/>
    <w:rsid w:val="00CE05F2"/>
    <w:rsid w:val="00CE19E0"/>
    <w:rsid w:val="00CE6458"/>
    <w:rsid w:val="00CE69C5"/>
    <w:rsid w:val="00CF2333"/>
    <w:rsid w:val="00CF41B6"/>
    <w:rsid w:val="00D02623"/>
    <w:rsid w:val="00D02CFC"/>
    <w:rsid w:val="00D0596F"/>
    <w:rsid w:val="00D06BB4"/>
    <w:rsid w:val="00D117B4"/>
    <w:rsid w:val="00D11B60"/>
    <w:rsid w:val="00D16352"/>
    <w:rsid w:val="00D2418D"/>
    <w:rsid w:val="00D33EF7"/>
    <w:rsid w:val="00D33F99"/>
    <w:rsid w:val="00D41784"/>
    <w:rsid w:val="00D43805"/>
    <w:rsid w:val="00D463C9"/>
    <w:rsid w:val="00D56809"/>
    <w:rsid w:val="00D765C4"/>
    <w:rsid w:val="00D822C0"/>
    <w:rsid w:val="00D84190"/>
    <w:rsid w:val="00D8426E"/>
    <w:rsid w:val="00D85331"/>
    <w:rsid w:val="00D91C59"/>
    <w:rsid w:val="00D93371"/>
    <w:rsid w:val="00D96319"/>
    <w:rsid w:val="00D9662B"/>
    <w:rsid w:val="00DA382F"/>
    <w:rsid w:val="00DA6385"/>
    <w:rsid w:val="00DB4721"/>
    <w:rsid w:val="00DB4F0D"/>
    <w:rsid w:val="00DB776D"/>
    <w:rsid w:val="00DB7B85"/>
    <w:rsid w:val="00DC1B17"/>
    <w:rsid w:val="00DC1DFF"/>
    <w:rsid w:val="00DC2CDF"/>
    <w:rsid w:val="00DC54F7"/>
    <w:rsid w:val="00DC65BA"/>
    <w:rsid w:val="00DD7A96"/>
    <w:rsid w:val="00DE1861"/>
    <w:rsid w:val="00DE7900"/>
    <w:rsid w:val="00DF0E5D"/>
    <w:rsid w:val="00DF3CB7"/>
    <w:rsid w:val="00DF5170"/>
    <w:rsid w:val="00E02AF5"/>
    <w:rsid w:val="00E03A64"/>
    <w:rsid w:val="00E0466E"/>
    <w:rsid w:val="00E218A3"/>
    <w:rsid w:val="00E252E7"/>
    <w:rsid w:val="00E301E0"/>
    <w:rsid w:val="00E32A7B"/>
    <w:rsid w:val="00E37091"/>
    <w:rsid w:val="00E45162"/>
    <w:rsid w:val="00E5091C"/>
    <w:rsid w:val="00E52A34"/>
    <w:rsid w:val="00E52FB4"/>
    <w:rsid w:val="00E538FC"/>
    <w:rsid w:val="00E5403B"/>
    <w:rsid w:val="00E5746A"/>
    <w:rsid w:val="00E62D4C"/>
    <w:rsid w:val="00E67CF5"/>
    <w:rsid w:val="00E770FD"/>
    <w:rsid w:val="00E81AAD"/>
    <w:rsid w:val="00E91F44"/>
    <w:rsid w:val="00E92EDE"/>
    <w:rsid w:val="00EA151C"/>
    <w:rsid w:val="00EA2AD5"/>
    <w:rsid w:val="00EB03EB"/>
    <w:rsid w:val="00EB1DE1"/>
    <w:rsid w:val="00EC1163"/>
    <w:rsid w:val="00EC3C5F"/>
    <w:rsid w:val="00EE23CB"/>
    <w:rsid w:val="00EE24C9"/>
    <w:rsid w:val="00EE43F3"/>
    <w:rsid w:val="00EF0553"/>
    <w:rsid w:val="00EF27C2"/>
    <w:rsid w:val="00F01E35"/>
    <w:rsid w:val="00F127F4"/>
    <w:rsid w:val="00F2030C"/>
    <w:rsid w:val="00F20B9C"/>
    <w:rsid w:val="00F22006"/>
    <w:rsid w:val="00F275ED"/>
    <w:rsid w:val="00F3009C"/>
    <w:rsid w:val="00F35199"/>
    <w:rsid w:val="00F4242A"/>
    <w:rsid w:val="00F455AD"/>
    <w:rsid w:val="00F537B8"/>
    <w:rsid w:val="00F61D12"/>
    <w:rsid w:val="00F66243"/>
    <w:rsid w:val="00F73E7A"/>
    <w:rsid w:val="00F75022"/>
    <w:rsid w:val="00F7655E"/>
    <w:rsid w:val="00F81D4B"/>
    <w:rsid w:val="00F879E6"/>
    <w:rsid w:val="00F9374F"/>
    <w:rsid w:val="00F96BDA"/>
    <w:rsid w:val="00F97FD6"/>
    <w:rsid w:val="00FA4981"/>
    <w:rsid w:val="00FA76B4"/>
    <w:rsid w:val="00FB1C73"/>
    <w:rsid w:val="00FB2E5D"/>
    <w:rsid w:val="00FC361E"/>
    <w:rsid w:val="00FD2670"/>
    <w:rsid w:val="00FD435E"/>
    <w:rsid w:val="00FD6EAE"/>
    <w:rsid w:val="00FE21AD"/>
    <w:rsid w:val="00FE63D9"/>
    <w:rsid w:val="00FE6CA1"/>
    <w:rsid w:val="00FF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0CE4BB-B847-4754-AC22-DD368F95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99"/>
    <w:qFormat/>
    <w:rsid w:val="001E1005"/>
    <w:pPr>
      <w:ind w:left="720"/>
    </w:pPr>
  </w:style>
  <w:style w:type="paragraph" w:customStyle="1" w:styleId="Default">
    <w:name w:val="Default"/>
    <w:rsid w:val="00734A22"/>
    <w:pPr>
      <w:autoSpaceDE w:val="0"/>
      <w:autoSpaceDN w:val="0"/>
      <w:adjustRightInd w:val="0"/>
    </w:pPr>
    <w:rPr>
      <w:rFonts w:ascii="Times New Roman" w:hAnsi="Times New Roman"/>
      <w:color w:val="000000"/>
      <w:sz w:val="24"/>
      <w:szCs w:val="24"/>
    </w:rPr>
  </w:style>
  <w:style w:type="paragraph" w:customStyle="1" w:styleId="Body">
    <w:name w:val="Body"/>
    <w:rsid w:val="008209E7"/>
    <w:pPr>
      <w:pBdr>
        <w:top w:val="nil"/>
        <w:left w:val="nil"/>
        <w:bottom w:val="nil"/>
        <w:right w:val="nil"/>
        <w:between w:val="nil"/>
        <w:bar w:val="nil"/>
      </w:pBdr>
      <w:spacing w:after="160" w:line="259" w:lineRule="auto"/>
    </w:pPr>
    <w:rPr>
      <w:rFonts w:ascii="Trebuchet MS" w:eastAsia="Arial Unicode MS" w:hAnsi="Arial Unicode MS" w:cs="Arial Unicode MS"/>
      <w:color w:val="000000"/>
      <w:sz w:val="22"/>
      <w:szCs w:val="22"/>
      <w:u w:color="000000"/>
      <w:bdr w:val="nil"/>
      <w:lang w:eastAsia="sq-AL"/>
    </w:rPr>
  </w:style>
  <w:style w:type="paragraph" w:customStyle="1" w:styleId="DHSecondaryHeadingOne">
    <w:name w:val="DH Secondary Heading One"/>
    <w:basedOn w:val="Normal"/>
    <w:rsid w:val="00EB03EB"/>
    <w:pPr>
      <w:numPr>
        <w:numId w:val="8"/>
      </w:numPr>
      <w:tabs>
        <w:tab w:val="clear" w:pos="1080"/>
      </w:tabs>
      <w:spacing w:after="0" w:line="360" w:lineRule="exact"/>
      <w:ind w:left="0" w:firstLine="0"/>
    </w:pPr>
    <w:rPr>
      <w:rFonts w:ascii="Arial" w:eastAsia="Times New Roman" w:hAnsi="Arial"/>
      <w:color w:val="009966"/>
      <w:sz w:val="28"/>
      <w:szCs w:val="20"/>
      <w:lang w:val="sq-AL"/>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B03EB"/>
    <w:rPr>
      <w:sz w:val="20"/>
      <w:szCs w:val="20"/>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rsid w:val="00EB03EB"/>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B03EB"/>
    <w:rPr>
      <w:vertAlign w:val="superscript"/>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EB03EB"/>
    <w:rPr>
      <w:sz w:val="22"/>
      <w:szCs w:val="22"/>
    </w:rPr>
  </w:style>
  <w:style w:type="paragraph" w:customStyle="1" w:styleId="BVIfnrCarCarCarCarChar">
    <w:name w:val="BVI fnr Car Car Car Car Char"/>
    <w:basedOn w:val="Normal"/>
    <w:link w:val="FootnoteReference"/>
    <w:uiPriority w:val="99"/>
    <w:rsid w:val="00EB03EB"/>
    <w:pPr>
      <w:spacing w:after="160" w:line="240" w:lineRule="exact"/>
    </w:pPr>
    <w:rPr>
      <w:sz w:val="20"/>
      <w:szCs w:val="20"/>
      <w:vertAlign w:val="superscript"/>
    </w:rPr>
  </w:style>
  <w:style w:type="character" w:styleId="CommentReference">
    <w:name w:val="annotation reference"/>
    <w:basedOn w:val="DefaultParagraphFont"/>
    <w:uiPriority w:val="99"/>
    <w:semiHidden/>
    <w:unhideWhenUsed/>
    <w:rsid w:val="00933ACF"/>
    <w:rPr>
      <w:sz w:val="16"/>
      <w:szCs w:val="16"/>
    </w:rPr>
  </w:style>
  <w:style w:type="paragraph" w:styleId="CommentText">
    <w:name w:val="annotation text"/>
    <w:basedOn w:val="Normal"/>
    <w:link w:val="CommentTextChar"/>
    <w:uiPriority w:val="99"/>
    <w:semiHidden/>
    <w:unhideWhenUsed/>
    <w:rsid w:val="00933ACF"/>
    <w:pPr>
      <w:spacing w:line="240" w:lineRule="auto"/>
    </w:pPr>
    <w:rPr>
      <w:sz w:val="20"/>
      <w:szCs w:val="20"/>
    </w:rPr>
  </w:style>
  <w:style w:type="character" w:customStyle="1" w:styleId="CommentTextChar">
    <w:name w:val="Comment Text Char"/>
    <w:basedOn w:val="DefaultParagraphFont"/>
    <w:link w:val="CommentText"/>
    <w:uiPriority w:val="99"/>
    <w:semiHidden/>
    <w:rsid w:val="00933ACF"/>
  </w:style>
  <w:style w:type="paragraph" w:styleId="CommentSubject">
    <w:name w:val="annotation subject"/>
    <w:basedOn w:val="CommentText"/>
    <w:next w:val="CommentText"/>
    <w:link w:val="CommentSubjectChar"/>
    <w:uiPriority w:val="99"/>
    <w:semiHidden/>
    <w:unhideWhenUsed/>
    <w:rsid w:val="00933ACF"/>
    <w:rPr>
      <w:b/>
      <w:bCs/>
    </w:rPr>
  </w:style>
  <w:style w:type="character" w:customStyle="1" w:styleId="CommentSubjectChar">
    <w:name w:val="Comment Subject Char"/>
    <w:basedOn w:val="CommentTextChar"/>
    <w:link w:val="CommentSubject"/>
    <w:uiPriority w:val="99"/>
    <w:semiHidden/>
    <w:rsid w:val="00933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79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5089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64E1ADD48AC80E4DB545C6026192B344" ma:contentTypeVersion="" ma:contentTypeDescription="" ma:contentTypeScope="" ma:versionID="fe441b44799be4fd56e91269636ca2c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CE96-3BA2-4EF0-A702-9CA4AC0005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A6283D-6A48-4DB3-BCC4-CC56F88BB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B7A3E-6267-4740-AA24-0D36272AAFEC}">
  <ds:schemaRefs>
    <ds:schemaRef ds:uri="http://schemas.microsoft.com/office/2006/metadata/longProperties"/>
  </ds:schemaRefs>
</ds:datastoreItem>
</file>

<file path=customXml/itemProps4.xml><?xml version="1.0" encoding="utf-8"?>
<ds:datastoreItem xmlns:ds="http://schemas.openxmlformats.org/officeDocument/2006/customXml" ds:itemID="{DA841F7C-DFDC-42F1-AEED-8CD79BE3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Tedi Dobi</dc:creator>
  <cp:keywords/>
  <cp:lastModifiedBy>Alma Dylgjeri</cp:lastModifiedBy>
  <cp:revision>2</cp:revision>
  <cp:lastPrinted>1899-12-31T23:00:00Z</cp:lastPrinted>
  <dcterms:created xsi:type="dcterms:W3CDTF">2019-12-04T15:07:00Z</dcterms:created>
  <dcterms:modified xsi:type="dcterms:W3CDTF">2019-12-04T15:07:00Z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